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b/>
          <w:color w:val="FC0396"/>
          <w:sz w:val="20"/>
        </w:rPr>
        <w:t>WAYF</w:t>
      </w:r>
    </w:p>
    <w:p>
      <w:pPr>
        <w:pStyle w:val="Title"/>
        <w:spacing w:before="4000" w:after="200"/>
      </w:pPr>
      <w:r>
        <w:rPr>
          <w:b/>
          <w:color w:val="14110F"/>
          <w:sz w:val="60"/>
        </w:rPr>
        <w:t>Enterprise CMS Migration RFP Template</w:t>
      </w:r>
    </w:p>
    <w:p>
      <w:pPr>
        <w:spacing w:after="480"/>
      </w:pPr>
      <w:r>
        <w:rPr>
          <w:color w:val="71717A"/>
          <w:sz w:val="20"/>
        </w:rPr>
        <w:t>Version 1.1 · September 2026</w:t>
      </w:r>
    </w:p>
    <w:p>
      <w:r>
        <w:rPr>
          <w:i/>
          <w:color w:val="3F3F46"/>
          <w:sz w:val="20"/>
        </w:rPr>
        <w:t>Fill in Part 1, delete the italic guidance, and issue it under your own name. Attribution is welcome and not required.</w:t>
      </w:r>
    </w:p>
    <w:p>
      <w:r>
        <w:br w:type="page"/>
      </w:r>
    </w:p>
    <w:p>
      <w:pPr>
        <w:pStyle w:val="Heading2"/>
        <w:keepNext/>
        <w:spacing w:before="400" w:after="120"/>
      </w:pPr>
      <w:r>
        <w:rPr>
          <w:b/>
          <w:color w:val="14110F"/>
          <w:sz w:val="30"/>
        </w:rPr>
        <w:t>How to use this template</w:t>
      </w:r>
    </w:p>
    <w:p>
      <w:r>
        <w:rPr>
          <w:rFonts w:ascii="Arial" w:hAnsi="Arial"/>
          <w:color w:val="14110F"/>
          <w:sz w:val="22"/>
        </w:rPr>
        <w:t>Use this template to request comparable proposals for a CMS migration. It covers the existing estate, the work to deliver, and the evidence each vendor must provide. Use it when changing CMS, replacing an implementation partner, or planning a migration to a platform already selected.</w:t>
      </w:r>
    </w:p>
    <w:p>
      <w:r>
        <w:rPr>
          <w:rFonts w:ascii="Arial" w:hAnsi="Arial"/>
          <w:b/>
          <w:color w:val="14110F"/>
          <w:sz w:val="22"/>
        </w:rPr>
        <w:t>Start with the buyer brief.</w:t>
      </w:r>
      <w:r>
        <w:rPr>
          <w:rFonts w:ascii="Arial" w:hAnsi="Arial"/>
          <w:color w:val="14110F"/>
          <w:sz w:val="22"/>
        </w:rPr>
        <w:t xml:space="preserve"> Assign Sections 1–11 to the people who own the relevant information. A digital lead coordinates the brief; content owners supply the inventory, technical owners describe integrations, and procurement confirms the process and commercial requirements.</w:t>
      </w:r>
    </w:p>
    <w:p>
      <w:r>
        <w:rPr>
          <w:rFonts w:ascii="Arial" w:hAnsi="Arial"/>
          <w:b/>
          <w:color w:val="14110F"/>
          <w:sz w:val="22"/>
        </w:rPr>
        <w:t>Keep unknowns visible.</w:t>
      </w:r>
      <w:r>
        <w:rPr>
          <w:rFonts w:ascii="Arial" w:hAnsi="Arial"/>
          <w:color w:val="14110F"/>
          <w:sz w:val="22"/>
        </w:rPr>
        <w:t xml:space="preserve"> Enter “Unknown”, an owner, and a date to resolve it. Ask vendors to price discovery separately where an unknown affects scope. Delete irrelevant sections and explain exclusions in Section 11.</w:t>
      </w:r>
    </w:p>
    <w:p>
      <w:r>
        <w:rPr>
          <w:rFonts w:ascii="Arial" w:hAnsi="Arial"/>
          <w:b/>
          <w:color w:val="14110F"/>
          <w:sz w:val="22"/>
        </w:rPr>
        <w:t>Issue one response schedule.</w:t>
      </w:r>
      <w:r>
        <w:rPr>
          <w:rFonts w:ascii="Arial" w:hAnsi="Arial"/>
          <w:color w:val="14110F"/>
          <w:sz w:val="22"/>
        </w:rPr>
        <w:t xml:space="preserve"> Vendors answer Sections 12–23 using the same numbering. Require evidence, assumptions, exclusions, dependencies, and a price basis. Circulate answers to clarification questions to all bidders through the process agreed with procurement.</w:t>
      </w:r>
    </w:p>
    <w:p>
      <w:r>
        <w:rPr>
          <w:rFonts w:ascii="Arial" w:hAnsi="Arial"/>
          <w:b/>
          <w:color w:val="14110F"/>
          <w:sz w:val="22"/>
        </w:rPr>
        <w:t>Agree the decision before the responses arrive.</w:t>
      </w:r>
      <w:r>
        <w:rPr>
          <w:rFonts w:ascii="Arial" w:hAnsi="Arial"/>
          <w:color w:val="14110F"/>
          <w:sz w:val="22"/>
        </w:rPr>
        <w:t xml:space="preserve"> Set mandatory criteria, weights and scoring evidence in Section 24. Use the companion XLSX workbook to compare three vendors and their three-year cost on the same assumptions. Copy the workbook if you need another evaluator's scores.</w:t>
      </w:r>
    </w:p>
    <w:p>
      <w:r>
        <w:rPr>
          <w:rFonts w:ascii="Arial" w:hAnsi="Arial"/>
          <w:color w:val="14110F"/>
          <w:sz w:val="22"/>
        </w:rPr>
        <w:t xml:space="preserve">The labels </w:t>
      </w:r>
      <w:r>
        <w:rPr>
          <w:rFonts w:ascii="Arial" w:hAnsi="Arial"/>
          <w:b/>
          <w:color w:val="14110F"/>
          <w:sz w:val="22"/>
        </w:rPr>
        <w:t>[BUYER]</w:t>
      </w:r>
      <w:r>
        <w:rPr>
          <w:rFonts w:ascii="Arial" w:hAnsi="Arial"/>
          <w:color w:val="14110F"/>
          <w:sz w:val="22"/>
        </w:rPr>
        <w:t xml:space="preserve"> and </w:t>
      </w:r>
      <w:r>
        <w:rPr>
          <w:rFonts w:ascii="Arial" w:hAnsi="Arial"/>
          <w:b/>
          <w:color w:val="14110F"/>
          <w:sz w:val="22"/>
        </w:rPr>
        <w:t>[VENDOR]</w:t>
      </w:r>
      <w:r>
        <w:rPr>
          <w:rFonts w:ascii="Arial" w:hAnsi="Arial"/>
          <w:color w:val="14110F"/>
          <w:sz w:val="22"/>
        </w:rPr>
        <w:t xml:space="preserve"> identify who completes each section. Italic prompts are guidance to remove before issue. The PDF is a reading copy; complete the DOCX in Word or import it into Google Docs. Recheck pagination after editing. Use the workbook in Excel or import it into Sheets.</w:t>
      </w:r>
    </w:p>
    <w:p>
      <w:r>
        <w:rPr>
          <w:rFonts w:ascii="Arial" w:hAnsi="Arial"/>
          <w:b/>
          <w:color w:val="14110F"/>
          <w:sz w:val="22"/>
        </w:rPr>
        <w:t>Before you issue the RFP</w:t>
      </w:r>
    </w:p>
    <w:p>
      <w:pPr>
        <w:spacing w:after="60"/>
        <w:ind w:left="317"/>
      </w:pPr>
      <w:r>
        <w:rPr>
          <w:color w:val="71717A"/>
          <w:sz w:val="24"/>
        </w:rPr>
        <w:t xml:space="preserve">☐  </w:t>
      </w:r>
      <w:r>
        <w:rPr>
          <w:rFonts w:ascii="Arial" w:hAnsi="Arial"/>
          <w:color w:val="14110F"/>
          <w:sz w:val="22"/>
        </w:rPr>
        <w:t>A named owner has reviewed every section of the buyer brief.</w:t>
      </w:r>
    </w:p>
    <w:p>
      <w:pPr>
        <w:spacing w:after="60"/>
        <w:ind w:left="317"/>
      </w:pPr>
      <w:r>
        <w:rPr>
          <w:color w:val="71717A"/>
          <w:sz w:val="24"/>
        </w:rPr>
        <w:t xml:space="preserve">☐  </w:t>
      </w:r>
      <w:r>
        <w:rPr>
          <w:rFonts w:ascii="Arial" w:hAnsi="Arial"/>
          <w:color w:val="14110F"/>
          <w:sz w:val="22"/>
        </w:rPr>
        <w:t>Content counts, integrations and the launch scope are documented.</w:t>
      </w:r>
    </w:p>
    <w:p>
      <w:pPr>
        <w:spacing w:after="60"/>
        <w:ind w:left="317"/>
      </w:pPr>
      <w:r>
        <w:rPr>
          <w:color w:val="71717A"/>
          <w:sz w:val="24"/>
        </w:rPr>
        <w:t xml:space="preserve">☐  </w:t>
      </w:r>
      <w:r>
        <w:rPr>
          <w:rFonts w:ascii="Arial" w:hAnsi="Arial"/>
          <w:color w:val="14110F"/>
          <w:sz w:val="22"/>
        </w:rPr>
        <w:t>Unknowns have owners and an agreed treatment in vendor pricing.</w:t>
      </w:r>
    </w:p>
    <w:p>
      <w:pPr>
        <w:spacing w:after="60"/>
        <w:ind w:left="317"/>
      </w:pPr>
      <w:r>
        <w:rPr>
          <w:color w:val="71717A"/>
          <w:sz w:val="24"/>
        </w:rPr>
        <w:t xml:space="preserve">☐  </w:t>
      </w:r>
      <w:r>
        <w:rPr>
          <w:rFonts w:ascii="Arial" w:hAnsi="Arial"/>
          <w:color w:val="14110F"/>
          <w:sz w:val="22"/>
        </w:rPr>
        <w:t>Mandatory criteria, scoring weights and evidence are agreed.</w:t>
      </w:r>
    </w:p>
    <w:p>
      <w:pPr>
        <w:spacing w:after="60"/>
        <w:ind w:left="317"/>
      </w:pPr>
      <w:r>
        <w:rPr>
          <w:color w:val="71717A"/>
          <w:sz w:val="24"/>
        </w:rPr>
        <w:t xml:space="preserve">☐  </w:t>
      </w:r>
      <w:r>
        <w:rPr>
          <w:rFonts w:ascii="Arial" w:hAnsi="Arial"/>
          <w:color w:val="14110F"/>
          <w:sz w:val="22"/>
        </w:rPr>
        <w:t>Budget basis, currency, deadlines and vendor access are confirmed.</w:t>
      </w:r>
    </w:p>
    <w:p>
      <w:pPr>
        <w:spacing w:after="60"/>
        <w:ind w:left="317"/>
      </w:pPr>
      <w:r>
        <w:rPr>
          <w:color w:val="71717A"/>
          <w:sz w:val="24"/>
        </w:rPr>
        <w:t xml:space="preserve">☐  </w:t>
      </w:r>
      <w:r>
        <w:rPr>
          <w:rFonts w:ascii="Arial" w:hAnsi="Arial"/>
          <w:color w:val="14110F"/>
          <w:sz w:val="22"/>
        </w:rPr>
        <w:t>Procurement has approved the process and contract requirements.</w:t>
      </w:r>
    </w:p>
    <w:p>
      <w:r>
        <w:rPr>
          <w:rFonts w:ascii="Arial" w:hAnsi="Arial"/>
          <w:color w:val="14110F"/>
          <w:sz w:val="22"/>
        </w:rPr>
        <w:t>For regulated or public procurement, have your procurement and legal owners adapt the process, accessibility requirements and contract terms to your organisation. The example timeline is a planning aid.</w:t>
      </w:r>
    </w:p>
    <w:p>
      <w:pPr>
        <w:pStyle w:val="Heading2"/>
        <w:keepNext/>
        <w:pageBreakBefore/>
        <w:spacing w:before="400" w:after="120"/>
      </w:pPr>
      <w:r>
        <w:rPr>
          <w:b/>
          <w:color w:val="14110F"/>
          <w:sz w:val="30"/>
        </w:rPr>
        <w:t>Contents</w:t>
      </w:r>
    </w:p>
    <w:p>
      <w:r>
        <w:rPr>
          <w:rFonts w:ascii="Arial" w:hAnsi="Arial"/>
          <w:b/>
          <w:color w:val="14110F"/>
          <w:sz w:val="22"/>
        </w:rPr>
        <w:t>Part 1 — The brief</w:t>
      </w:r>
    </w:p>
    <w:p>
      <w:pPr>
        <w:spacing w:after="60"/>
        <w:ind w:left="547" w:hanging="547"/>
      </w:pPr>
      <w:r>
        <w:rPr>
          <w:b/>
          <w:color w:val="FC0396"/>
          <w:sz w:val="20"/>
        </w:rPr>
        <w:t xml:space="preserve">1.  </w:t>
      </w:r>
      <w:r>
        <w:rPr>
          <w:rFonts w:ascii="Arial" w:hAnsi="Arial"/>
          <w:color w:val="14110F"/>
          <w:sz w:val="22"/>
        </w:rPr>
        <w:t>Organisation, contacts, and how to respond</w:t>
      </w:r>
    </w:p>
    <w:p>
      <w:pPr>
        <w:spacing w:after="60"/>
        <w:ind w:left="547" w:hanging="547"/>
      </w:pPr>
      <w:r>
        <w:rPr>
          <w:b/>
          <w:color w:val="FC0396"/>
          <w:sz w:val="20"/>
        </w:rPr>
        <w:t xml:space="preserve">2.  </w:t>
      </w:r>
      <w:r>
        <w:rPr>
          <w:rFonts w:ascii="Arial" w:hAnsi="Arial"/>
          <w:color w:val="14110F"/>
          <w:sz w:val="22"/>
        </w:rPr>
        <w:t>Why you are moving</w:t>
      </w:r>
    </w:p>
    <w:p>
      <w:pPr>
        <w:spacing w:after="60"/>
        <w:ind w:left="547" w:hanging="547"/>
      </w:pPr>
      <w:r>
        <w:rPr>
          <w:b/>
          <w:color w:val="FC0396"/>
          <w:sz w:val="20"/>
        </w:rPr>
        <w:t xml:space="preserve">3.  </w:t>
      </w:r>
      <w:r>
        <w:rPr>
          <w:rFonts w:ascii="Arial" w:hAnsi="Arial"/>
          <w:color w:val="14110F"/>
          <w:sz w:val="22"/>
        </w:rPr>
        <w:t>What exists today</w:t>
      </w:r>
    </w:p>
    <w:p>
      <w:pPr>
        <w:spacing w:after="60"/>
        <w:ind w:left="547" w:hanging="547"/>
      </w:pPr>
      <w:r>
        <w:rPr>
          <w:b/>
          <w:color w:val="FC0396"/>
          <w:sz w:val="20"/>
        </w:rPr>
        <w:t xml:space="preserve">4.  </w:t>
      </w:r>
      <w:r>
        <w:rPr>
          <w:rFonts w:ascii="Arial" w:hAnsi="Arial"/>
          <w:color w:val="14110F"/>
          <w:sz w:val="22"/>
        </w:rPr>
        <w:t>Content inventory</w:t>
      </w:r>
    </w:p>
    <w:p>
      <w:pPr>
        <w:spacing w:after="60"/>
        <w:ind w:left="547" w:hanging="547"/>
      </w:pPr>
      <w:r>
        <w:rPr>
          <w:b/>
          <w:color w:val="FC0396"/>
          <w:sz w:val="20"/>
        </w:rPr>
        <w:t xml:space="preserve">5.  </w:t>
      </w:r>
      <w:r>
        <w:rPr>
          <w:rFonts w:ascii="Arial" w:hAnsi="Arial"/>
          <w:color w:val="14110F"/>
          <w:sz w:val="22"/>
        </w:rPr>
        <w:t>Content model and editorial workflow today</w:t>
      </w:r>
    </w:p>
    <w:p>
      <w:pPr>
        <w:spacing w:after="60"/>
        <w:ind w:left="547" w:hanging="547"/>
      </w:pPr>
      <w:r>
        <w:rPr>
          <w:b/>
          <w:color w:val="FC0396"/>
          <w:sz w:val="20"/>
        </w:rPr>
        <w:t xml:space="preserve">6.  </w:t>
      </w:r>
      <w:r>
        <w:rPr>
          <w:rFonts w:ascii="Arial" w:hAnsi="Arial"/>
          <w:color w:val="14110F"/>
          <w:sz w:val="22"/>
        </w:rPr>
        <w:t>Integration register</w:t>
      </w:r>
    </w:p>
    <w:p>
      <w:pPr>
        <w:spacing w:after="60"/>
        <w:ind w:left="547" w:hanging="547"/>
      </w:pPr>
      <w:r>
        <w:rPr>
          <w:b/>
          <w:color w:val="FC0396"/>
          <w:sz w:val="20"/>
        </w:rPr>
        <w:t xml:space="preserve">7.  </w:t>
      </w:r>
      <w:r>
        <w:rPr>
          <w:rFonts w:ascii="Arial" w:hAnsi="Arial"/>
          <w:color w:val="14110F"/>
          <w:sz w:val="22"/>
        </w:rPr>
        <w:t>URLs, redirects, and search continuity</w:t>
      </w:r>
    </w:p>
    <w:p>
      <w:pPr>
        <w:spacing w:after="60"/>
        <w:ind w:left="547" w:hanging="547"/>
      </w:pPr>
      <w:r>
        <w:rPr>
          <w:b/>
          <w:color w:val="FC0396"/>
          <w:sz w:val="20"/>
        </w:rPr>
        <w:t xml:space="preserve">8.  </w:t>
      </w:r>
      <w:r>
        <w:rPr>
          <w:rFonts w:ascii="Arial" w:hAnsi="Arial"/>
          <w:color w:val="14110F"/>
          <w:sz w:val="22"/>
        </w:rPr>
        <w:t>Non-functional requirements</w:t>
      </w:r>
    </w:p>
    <w:p>
      <w:pPr>
        <w:spacing w:after="60"/>
        <w:ind w:left="547" w:hanging="547"/>
      </w:pPr>
      <w:r>
        <w:rPr>
          <w:b/>
          <w:color w:val="FC0396"/>
          <w:sz w:val="20"/>
        </w:rPr>
        <w:t xml:space="preserve">9.  </w:t>
      </w:r>
      <w:r>
        <w:rPr>
          <w:rFonts w:ascii="Arial" w:hAnsi="Arial"/>
          <w:color w:val="14110F"/>
          <w:sz w:val="22"/>
        </w:rPr>
        <w:t>Localisation, brands, and regions</w:t>
      </w:r>
    </w:p>
    <w:p>
      <w:pPr>
        <w:spacing w:after="60"/>
        <w:ind w:left="547" w:hanging="547"/>
      </w:pPr>
      <w:r>
        <w:rPr>
          <w:b/>
          <w:color w:val="FC0396"/>
          <w:sz w:val="20"/>
        </w:rPr>
        <w:t xml:space="preserve">10. </w:t>
      </w:r>
      <w:r>
        <w:rPr>
          <w:rFonts w:ascii="Arial" w:hAnsi="Arial"/>
          <w:color w:val="14110F"/>
          <w:sz w:val="22"/>
        </w:rPr>
        <w:t>Constraints, budget posture, and timeline</w:t>
      </w:r>
    </w:p>
    <w:p>
      <w:pPr>
        <w:spacing w:after="60"/>
        <w:ind w:left="547" w:hanging="547"/>
      </w:pPr>
      <w:r>
        <w:rPr>
          <w:b/>
          <w:color w:val="FC0396"/>
          <w:sz w:val="20"/>
        </w:rPr>
        <w:t xml:space="preserve">11. </w:t>
      </w:r>
      <w:r>
        <w:rPr>
          <w:rFonts w:ascii="Arial" w:hAnsi="Arial"/>
          <w:color w:val="14110F"/>
          <w:sz w:val="22"/>
        </w:rPr>
        <w:t>Explicitly out of scope</w:t>
      </w:r>
    </w:p>
    <w:p>
      <w:r>
        <w:rPr>
          <w:rFonts w:ascii="Arial" w:hAnsi="Arial"/>
          <w:b/>
          <w:color w:val="14110F"/>
          <w:sz w:val="22"/>
        </w:rPr>
        <w:t>Part 2 — The response schedule</w:t>
      </w:r>
    </w:p>
    <w:p>
      <w:pPr>
        <w:spacing w:after="60"/>
        <w:ind w:left="547" w:hanging="547"/>
      </w:pPr>
      <w:r>
        <w:rPr>
          <w:b/>
          <w:color w:val="FC0396"/>
          <w:sz w:val="20"/>
        </w:rPr>
        <w:t xml:space="preserve">12. </w:t>
      </w:r>
      <w:r>
        <w:rPr>
          <w:rFonts w:ascii="Arial" w:hAnsi="Arial"/>
          <w:color w:val="14110F"/>
          <w:sz w:val="22"/>
        </w:rPr>
        <w:t>Scope and deliverables</w:t>
      </w:r>
    </w:p>
    <w:p>
      <w:pPr>
        <w:spacing w:after="60"/>
        <w:ind w:left="547" w:hanging="547"/>
      </w:pPr>
      <w:r>
        <w:rPr>
          <w:b/>
          <w:color w:val="FC0396"/>
          <w:sz w:val="20"/>
        </w:rPr>
        <w:t xml:space="preserve">13. </w:t>
      </w:r>
      <w:r>
        <w:rPr>
          <w:rFonts w:ascii="Arial" w:hAnsi="Arial"/>
          <w:color w:val="14110F"/>
          <w:sz w:val="22"/>
        </w:rPr>
        <w:t>Content migration approach</w:t>
      </w:r>
    </w:p>
    <w:p>
      <w:pPr>
        <w:spacing w:after="60"/>
        <w:ind w:left="547" w:hanging="547"/>
      </w:pPr>
      <w:r>
        <w:rPr>
          <w:b/>
          <w:color w:val="FC0396"/>
          <w:sz w:val="20"/>
        </w:rPr>
        <w:t xml:space="preserve">14. </w:t>
      </w:r>
      <w:r>
        <w:rPr>
          <w:rFonts w:ascii="Arial" w:hAnsi="Arial"/>
          <w:color w:val="14110F"/>
          <w:sz w:val="22"/>
        </w:rPr>
        <w:t>Integration approach</w:t>
      </w:r>
    </w:p>
    <w:p>
      <w:pPr>
        <w:spacing w:after="60"/>
        <w:ind w:left="547" w:hanging="547"/>
      </w:pPr>
      <w:r>
        <w:rPr>
          <w:b/>
          <w:color w:val="FC0396"/>
          <w:sz w:val="20"/>
        </w:rPr>
        <w:t xml:space="preserve">15. </w:t>
      </w:r>
      <w:r>
        <w:rPr>
          <w:rFonts w:ascii="Arial" w:hAnsi="Arial"/>
          <w:color w:val="14110F"/>
          <w:sz w:val="22"/>
        </w:rPr>
        <w:t>Redirect and search continuity plan</w:t>
      </w:r>
    </w:p>
    <w:p>
      <w:pPr>
        <w:spacing w:after="60"/>
        <w:ind w:left="547" w:hanging="547"/>
      </w:pPr>
      <w:r>
        <w:rPr>
          <w:b/>
          <w:color w:val="FC0396"/>
          <w:sz w:val="20"/>
        </w:rPr>
        <w:t xml:space="preserve">16. </w:t>
      </w:r>
      <w:r>
        <w:rPr>
          <w:rFonts w:ascii="Arial" w:hAnsi="Arial"/>
          <w:color w:val="14110F"/>
          <w:sz w:val="22"/>
        </w:rPr>
        <w:t>Editorial workflow, roles, and permissions</w:t>
      </w:r>
    </w:p>
    <w:p>
      <w:pPr>
        <w:spacing w:after="60"/>
        <w:ind w:left="547" w:hanging="547"/>
      </w:pPr>
      <w:r>
        <w:rPr>
          <w:b/>
          <w:color w:val="FC0396"/>
          <w:sz w:val="20"/>
        </w:rPr>
        <w:t xml:space="preserve">17. </w:t>
      </w:r>
      <w:r>
        <w:rPr>
          <w:rFonts w:ascii="Arial" w:hAnsi="Arial"/>
          <w:color w:val="14110F"/>
          <w:sz w:val="22"/>
        </w:rPr>
        <w:t>Training and enablement</w:t>
      </w:r>
    </w:p>
    <w:p>
      <w:pPr>
        <w:spacing w:after="60"/>
        <w:ind w:left="547" w:hanging="547"/>
      </w:pPr>
      <w:r>
        <w:rPr>
          <w:b/>
          <w:color w:val="FC0396"/>
          <w:sz w:val="20"/>
        </w:rPr>
        <w:t xml:space="preserve">18. </w:t>
      </w:r>
      <w:r>
        <w:rPr>
          <w:rFonts w:ascii="Arial" w:hAnsi="Arial"/>
          <w:color w:val="14110F"/>
          <w:sz w:val="22"/>
        </w:rPr>
        <w:t>QA and acceptance</w:t>
      </w:r>
    </w:p>
    <w:p>
      <w:pPr>
        <w:spacing w:after="60"/>
        <w:ind w:left="547" w:hanging="547"/>
      </w:pPr>
      <w:r>
        <w:rPr>
          <w:b/>
          <w:color w:val="FC0396"/>
          <w:sz w:val="20"/>
        </w:rPr>
        <w:t xml:space="preserve">19. </w:t>
      </w:r>
      <w:r>
        <w:rPr>
          <w:rFonts w:ascii="Arial" w:hAnsi="Arial"/>
          <w:color w:val="14110F"/>
          <w:sz w:val="22"/>
        </w:rPr>
        <w:t>Cutover and rollback</w:t>
      </w:r>
    </w:p>
    <w:p>
      <w:pPr>
        <w:spacing w:after="60"/>
        <w:ind w:left="547" w:hanging="547"/>
      </w:pPr>
      <w:r>
        <w:rPr>
          <w:b/>
          <w:color w:val="FC0396"/>
          <w:sz w:val="20"/>
        </w:rPr>
        <w:t xml:space="preserve">20. </w:t>
      </w:r>
      <w:r>
        <w:rPr>
          <w:rFonts w:ascii="Arial" w:hAnsi="Arial"/>
          <w:color w:val="14110F"/>
          <w:sz w:val="22"/>
        </w:rPr>
        <w:t>Hypercare and ongoing support</w:t>
      </w:r>
    </w:p>
    <w:p>
      <w:pPr>
        <w:spacing w:after="60"/>
        <w:ind w:left="547" w:hanging="547"/>
      </w:pPr>
      <w:r>
        <w:rPr>
          <w:b/>
          <w:color w:val="FC0396"/>
          <w:sz w:val="20"/>
        </w:rPr>
        <w:t xml:space="preserve">21. </w:t>
      </w:r>
      <w:r>
        <w:rPr>
          <w:rFonts w:ascii="Arial" w:hAnsi="Arial"/>
          <w:color w:val="14110F"/>
          <w:sz w:val="22"/>
        </w:rPr>
        <w:t>Team, ways of working, and references</w:t>
      </w:r>
    </w:p>
    <w:p>
      <w:pPr>
        <w:spacing w:after="60"/>
        <w:ind w:left="547" w:hanging="547"/>
      </w:pPr>
      <w:r>
        <w:rPr>
          <w:b/>
          <w:color w:val="FC0396"/>
          <w:sz w:val="20"/>
        </w:rPr>
        <w:t xml:space="preserve">22. </w:t>
      </w:r>
      <w:r>
        <w:rPr>
          <w:rFonts w:ascii="Arial" w:hAnsi="Arial"/>
          <w:color w:val="14110F"/>
          <w:sz w:val="22"/>
        </w:rPr>
        <w:t>Commercials</w:t>
      </w:r>
    </w:p>
    <w:p>
      <w:pPr>
        <w:spacing w:after="60"/>
        <w:ind w:left="547" w:hanging="547"/>
      </w:pPr>
      <w:r>
        <w:rPr>
          <w:b/>
          <w:color w:val="FC0396"/>
          <w:sz w:val="20"/>
        </w:rPr>
        <w:t xml:space="preserve">23. </w:t>
      </w:r>
      <w:r>
        <w:rPr>
          <w:rFonts w:ascii="Arial" w:hAnsi="Arial"/>
          <w:color w:val="14110F"/>
          <w:sz w:val="22"/>
        </w:rPr>
        <w:t>Contract terms: IP, data, and exit</w:t>
      </w:r>
    </w:p>
    <w:p>
      <w:r>
        <w:rPr>
          <w:rFonts w:ascii="Arial" w:hAnsi="Arial"/>
          <w:b/>
          <w:color w:val="14110F"/>
          <w:sz w:val="22"/>
        </w:rPr>
        <w:t>Part 3 — Evaluating the responses</w:t>
      </w:r>
    </w:p>
    <w:p>
      <w:pPr>
        <w:spacing w:after="60"/>
        <w:ind w:left="547" w:hanging="547"/>
      </w:pPr>
      <w:r>
        <w:rPr>
          <w:b/>
          <w:color w:val="FC0396"/>
          <w:sz w:val="20"/>
        </w:rPr>
        <w:t xml:space="preserve">24. </w:t>
      </w:r>
      <w:r>
        <w:rPr>
          <w:rFonts w:ascii="Arial" w:hAnsi="Arial"/>
          <w:color w:val="14110F"/>
          <w:sz w:val="22"/>
        </w:rPr>
        <w:t>Weighted scoring matrix</w:t>
      </w:r>
    </w:p>
    <w:p>
      <w:pPr>
        <w:spacing w:after="60"/>
        <w:ind w:left="547" w:hanging="547"/>
      </w:pPr>
      <w:r>
        <w:rPr>
          <w:b/>
          <w:color w:val="FC0396"/>
          <w:sz w:val="20"/>
        </w:rPr>
        <w:t xml:space="preserve">25. </w:t>
      </w:r>
      <w:r>
        <w:rPr>
          <w:rFonts w:ascii="Arial" w:hAnsi="Arial"/>
          <w:color w:val="14110F"/>
          <w:sz w:val="22"/>
        </w:rPr>
        <w:t>Red flags</w:t>
      </w:r>
    </w:p>
    <w:p>
      <w:pPr>
        <w:spacing w:after="60"/>
        <w:ind w:left="547" w:hanging="547"/>
      </w:pPr>
      <w:r>
        <w:rPr>
          <w:b/>
          <w:color w:val="FC0396"/>
          <w:sz w:val="20"/>
        </w:rPr>
        <w:t xml:space="preserve">26. </w:t>
      </w:r>
      <w:r>
        <w:rPr>
          <w:rFonts w:ascii="Arial" w:hAnsi="Arial"/>
          <w:color w:val="14110F"/>
          <w:sz w:val="22"/>
        </w:rPr>
        <w:t>RFP process timeline</w:t>
      </w:r>
    </w:p>
    <w:p>
      <w:r>
        <w:rPr>
          <w:rFonts w:ascii="Arial" w:hAnsi="Arial"/>
          <w:b/>
          <w:color w:val="14110F"/>
          <w:sz w:val="22"/>
        </w:rPr>
        <w:t>Appendices</w:t>
      </w:r>
    </w:p>
    <w:p>
      <w:pPr>
        <w:pStyle w:val="ListBullet"/>
        <w:spacing w:after="60"/>
      </w:pPr>
      <w:r>
        <w:rPr>
          <w:rFonts w:ascii="Arial" w:hAnsi="Arial"/>
          <w:color w:val="14110F"/>
          <w:sz w:val="22"/>
        </w:rPr>
        <w:t>A. Content inventory sheet — column set</w:t>
      </w:r>
    </w:p>
    <w:p>
      <w:pPr>
        <w:pStyle w:val="ListBullet"/>
        <w:spacing w:after="60"/>
      </w:pPr>
      <w:r>
        <w:rPr>
          <w:rFonts w:ascii="Arial" w:hAnsi="Arial"/>
          <w:color w:val="14110F"/>
          <w:sz w:val="22"/>
        </w:rPr>
        <w:t>B. Integration register — column set</w:t>
      </w:r>
    </w:p>
    <w:p>
      <w:pPr>
        <w:pStyle w:val="ListBullet"/>
        <w:spacing w:after="60"/>
      </w:pPr>
      <w:r>
        <w:rPr>
          <w:rFonts w:ascii="Arial" w:hAnsi="Arial"/>
          <w:color w:val="14110F"/>
          <w:sz w:val="22"/>
        </w:rPr>
        <w:t>C. Redirect map — column set</w:t>
      </w:r>
    </w:p>
    <w:p>
      <w:pPr>
        <w:pStyle w:val="ListBullet"/>
        <w:spacing w:after="60"/>
      </w:pPr>
      <w:r>
        <w:rPr>
          <w:rFonts w:ascii="Arial" w:hAnsi="Arial"/>
          <w:color w:val="14110F"/>
          <w:sz w:val="22"/>
        </w:rPr>
        <w:t>D. Clarification log</w:t>
      </w:r>
    </w:p>
    <w:p>
      <w:pPr>
        <w:pStyle w:val="Heading1"/>
        <w:keepNext/>
        <w:pageBreakBefore/>
        <w:spacing w:before="520" w:after="120"/>
      </w:pPr>
      <w:r>
        <w:rPr>
          <w:b/>
          <w:color w:val="14110F"/>
          <w:sz w:val="44"/>
        </w:rPr>
        <w:t>Part 1 — The brief</w:t>
      </w:r>
    </w:p>
    <w:p>
      <w:pPr>
        <w:pStyle w:val="Heading2"/>
        <w:keepNext/>
        <w:spacing w:before="400" w:after="120"/>
      </w:pPr>
      <w:r>
        <w:rPr>
          <w:b/>
          <w:color w:val="FC0396"/>
          <w:sz w:val="30"/>
        </w:rPr>
        <w:t xml:space="preserve">1   </w:t>
      </w:r>
      <w:r>
        <w:rPr>
          <w:b/>
          <w:color w:val="14110F"/>
          <w:sz w:val="30"/>
        </w:rPr>
        <w:t>Organisation, contacts, and how to respond</w:t>
      </w:r>
      <w:r>
        <w:rPr>
          <w:b/>
          <w:color w:val="FC0396"/>
          <w:sz w:val="16"/>
        </w:rPr>
        <w:t xml:space="preserve">   BUYER</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Organisation</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Sector</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Primary contact for this RFP</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Technical contact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Procurement contact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Decision maker (signs the contract)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Response format</w:t>
            </w:r>
          </w:p>
        </w:tc>
        <w:tc>
          <w:tcPr>
            <w:tcW w:type="dxa" w:w="5783"/>
            <w:tcBorders>
              <w:top w:val="nil"/>
              <w:left w:val="nil"/>
              <w:bottom w:val="single" w:sz="4" w:color="D9D9D9"/>
              <w:right w:val="nil"/>
            </w:tcBorders>
          </w:tcPr>
          <w:p>
            <w:pPr>
              <w:spacing w:after="60" w:before="60"/>
            </w:pPr>
            <w:r/>
            <w:r>
              <w:rPr>
                <w:rFonts w:ascii="Arial" w:hAnsi="Arial"/>
                <w:i/>
                <w:color w:val="3F3F46"/>
                <w:sz w:val="17"/>
              </w:rPr>
              <w:t>e.g. PDF, max 25 pages excluding appendices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Response deadline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Questions deadline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Questions channel</w:t>
            </w:r>
          </w:p>
        </w:tc>
        <w:tc>
          <w:tcPr>
            <w:tcW w:type="dxa" w:w="5783"/>
            <w:tcBorders>
              <w:top w:val="nil"/>
              <w:left w:val="nil"/>
              <w:bottom w:val="single" w:sz="4" w:color="D9D9D9"/>
              <w:right w:val="nil"/>
            </w:tcBorders>
          </w:tcPr>
          <w:p>
            <w:pPr>
              <w:spacing w:after="60" w:before="60"/>
            </w:pPr>
            <w:r/>
            <w:r>
              <w:rPr>
                <w:rFonts w:ascii="Arial" w:hAnsi="Arial"/>
                <w:i/>
                <w:color w:val="3F3F46"/>
                <w:sz w:val="17"/>
              </w:rPr>
              <w:t>A single mailbox. Answers circulated to all bidders.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Presentation stage</w:t>
            </w:r>
          </w:p>
        </w:tc>
        <w:tc>
          <w:tcPr>
            <w:tcW w:type="dxa" w:w="5783"/>
            <w:tcBorders>
              <w:top w:val="nil"/>
              <w:left w:val="nil"/>
              <w:bottom w:val="single" w:sz="4" w:color="D9D9D9"/>
              <w:right w:val="nil"/>
            </w:tcBorders>
          </w:tcPr>
          <w:p>
            <w:pPr>
              <w:spacing w:after="60" w:before="60"/>
            </w:pPr>
            <w:r/>
            <w:r>
              <w:rPr>
                <w:rFonts w:ascii="Arial" w:hAnsi="Arial"/>
                <w:i/>
                <w:color w:val="3F3F46"/>
                <w:sz w:val="17"/>
              </w:rPr>
              <w:t>Date, format, who attends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Award date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Contract start</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pPr>
        <w:ind w:left="317"/>
      </w:pPr>
      <w:r>
        <w:rPr>
          <w:rFonts w:ascii="Arial" w:hAnsi="Arial"/>
          <w:i/>
          <w:color w:val="3F3F46"/>
          <w:sz w:val="20"/>
        </w:rPr>
        <w:t>Name the decision maker and confirm their authority to approve the contract. Document any additional approvals and the time they need.</w:t>
      </w:r>
    </w:p>
    <w:p>
      <w:r>
        <w:rPr>
          <w:rFonts w:ascii="Arial" w:hAnsi="Arial"/>
          <w:color w:val="14110F"/>
          <w:sz w:val="22"/>
        </w:rPr>
        <w:t>Circulate every answer to every bidder. An answer given to one vendor privately produces responses priced against different information, which is the same failure this document exists to prevent.</w:t>
      </w:r>
    </w:p>
    <w:p>
      <w:pPr>
        <w:pStyle w:val="Heading2"/>
        <w:keepNext/>
        <w:spacing w:before="400" w:after="120"/>
      </w:pPr>
      <w:r>
        <w:rPr>
          <w:b/>
          <w:color w:val="FC0396"/>
          <w:sz w:val="30"/>
        </w:rPr>
        <w:t xml:space="preserve">2   </w:t>
      </w:r>
      <w:r>
        <w:rPr>
          <w:b/>
          <w:color w:val="14110F"/>
          <w:sz w:val="30"/>
        </w:rPr>
        <w:t>Why you are moving</w:t>
      </w:r>
      <w:r>
        <w:rPr>
          <w:b/>
          <w:color w:val="FC0396"/>
          <w:sz w:val="16"/>
        </w:rPr>
        <w:t xml:space="preserve">   BUYER</w:t>
      </w:r>
    </w:p>
    <w:p>
      <w:pPr>
        <w:ind w:left="317"/>
      </w:pPr>
      <w:r>
        <w:rPr>
          <w:rFonts w:ascii="Arial" w:hAnsi="Arial"/>
          <w:i/>
          <w:color w:val="3F3F46"/>
          <w:sz w:val="20"/>
        </w:rPr>
        <w:t>State the trigger and identify any deadline that changes the delivery plan.</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The trigger</w:t>
            </w:r>
          </w:p>
        </w:tc>
        <w:tc>
          <w:tcPr>
            <w:tcW w:type="dxa" w:w="5783"/>
            <w:tcBorders>
              <w:top w:val="nil"/>
              <w:left w:val="nil"/>
              <w:bottom w:val="single" w:sz="4" w:color="D9D9D9"/>
              <w:right w:val="nil"/>
            </w:tcBorders>
          </w:tcPr>
          <w:p>
            <w:pPr>
              <w:spacing w:after="60" w:before="60"/>
            </w:pPr>
            <w:r/>
            <w:r>
              <w:rPr>
                <w:rFonts w:ascii="Arial" w:hAnsi="Arial"/>
                <w:i/>
                <w:color w:val="3F3F46"/>
                <w:sz w:val="17"/>
              </w:rPr>
              <w:t>Vendor end of life, licence economics, an editorial bottleneck, a content model the current system cannot express, a security or accessibility finding, an acquisition</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Hard external date, if any</w:t>
            </w:r>
          </w:p>
        </w:tc>
        <w:tc>
          <w:tcPr>
            <w:tcW w:type="dxa" w:w="5783"/>
            <w:tcBorders>
              <w:top w:val="nil"/>
              <w:left w:val="nil"/>
              <w:bottom w:val="single" w:sz="4" w:color="D9D9D9"/>
              <w:right w:val="nil"/>
            </w:tcBorders>
          </w:tcPr>
          <w:p>
            <w:pPr>
              <w:spacing w:after="60" w:before="60"/>
            </w:pPr>
            <w:r/>
            <w:r>
              <w:rPr>
                <w:rFonts w:ascii="Arial" w:hAnsi="Arial"/>
                <w:i/>
                <w:color w:val="3F3F46"/>
                <w:sz w:val="17"/>
              </w:rPr>
              <w:t>Support end date, contract renewal, campaign, regulatory deadline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What happens if the date is missed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What "better" looks like in one sentence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Who feels the current problem daily</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r>
        <w:rPr>
          <w:rFonts w:ascii="Arial" w:hAnsi="Arial"/>
          <w:b/>
          <w:color w:val="14110F"/>
          <w:sz w:val="22"/>
        </w:rPr>
        <w:t>Outcomes.</w:t>
      </w:r>
      <w:r>
        <w:rPr>
          <w:rFonts w:ascii="Arial" w:hAnsi="Arial"/>
          <w:color w:val="14110F"/>
          <w:sz w:val="22"/>
        </w:rPr>
        <w:t xml:space="preserve"> </w:t>
      </w:r>
      <w:r>
        <w:rPr>
          <w:rFonts w:ascii="Arial" w:hAnsi="Arial"/>
          <w:i/>
          <w:color w:val="14110F"/>
          <w:sz w:val="22"/>
        </w:rPr>
        <w:t>List five to eight. Write them so each is testable by someone outside the project. "Modern, scalable platform" is not testable. The examples below are.</w:t>
      </w:r>
    </w:p>
    <w:p>
      <w:pPr>
        <w:pStyle w:val="ListBullet"/>
        <w:spacing w:after="60"/>
      </w:pPr>
      <w:r>
        <w:rPr>
          <w:rFonts w:ascii="Arial" w:hAnsi="Arial"/>
          <w:color w:val="14110F"/>
          <w:sz w:val="22"/>
        </w:rPr>
        <w:t>Editors publish a new page without a developer.</w:t>
      </w:r>
    </w:p>
    <w:p>
      <w:pPr>
        <w:pStyle w:val="ListBullet"/>
        <w:spacing w:after="60"/>
      </w:pPr>
      <w:r>
        <w:rPr>
          <w:rFonts w:ascii="Arial" w:hAnsi="Arial"/>
          <w:color w:val="14110F"/>
          <w:sz w:val="22"/>
        </w:rPr>
        <w:t>Content is served to the website and the mobile app from one source.</w:t>
      </w:r>
    </w:p>
    <w:p>
      <w:pPr>
        <w:pStyle w:val="ListBullet"/>
        <w:spacing w:after="60"/>
      </w:pPr>
      <w:r>
        <w:rPr>
          <w:rFonts w:ascii="Arial" w:hAnsi="Arial"/>
          <w:color w:val="14110F"/>
          <w:sz w:val="22"/>
        </w:rPr>
        <w:t>A new regional site launches in under four weeks.</w:t>
      </w:r>
    </w:p>
    <w:p>
      <w:pPr>
        <w:pStyle w:val="ListBullet"/>
        <w:spacing w:after="60"/>
      </w:pPr>
      <w:r>
        <w:rPr>
          <w:rFonts w:ascii="Arial" w:hAnsi="Arial"/>
          <w:color w:val="14110F"/>
          <w:sz w:val="22"/>
        </w:rPr>
        <w:t>The platform is hosted in the EU and meets our data residency policy.</w:t>
      </w:r>
    </w:p>
    <w:p>
      <w:pPr>
        <w:pStyle w:val="ListBullet"/>
        <w:spacing w:after="60"/>
      </w:pPr>
      <w:r>
        <w:rPr>
          <w:rFonts w:ascii="Arial" w:hAnsi="Arial"/>
          <w:color w:val="14110F"/>
          <w:sz w:val="22"/>
        </w:rPr>
        <w:t>A brand manager can restrict edit rights to one field on one template.</w:t>
      </w:r>
    </w:p>
    <w:p>
      <w:pPr>
        <w:pStyle w:val="ListBullet"/>
        <w:spacing w:after="60"/>
      </w:pPr>
      <w:r>
        <w:rPr>
          <w:rFonts w:ascii="Arial" w:hAnsi="Arial"/>
          <w:color w:val="14110F"/>
          <w:sz w:val="22"/>
        </w:rPr>
        <w:t>Time from copy approved to live drops from five days to one.</w:t>
      </w:r>
    </w:p>
    <w:p>
      <w:r>
        <w:rPr>
          <w:rFonts w:ascii="Arial" w:hAnsi="Arial"/>
          <w:b/>
          <w:color w:val="14110F"/>
          <w:sz w:val="22"/>
        </w:rPr>
        <w:t>What success looks like at 30, 90, and 365 days after launch.</w:t>
      </w:r>
    </w:p>
    <w:tbl>
      <w:tblPr>
        <w:tblW w:type="auto" w:w="0"/>
        <w:jc w:val="left"/>
        <w:tblLayout w:type="fixed"/>
        <w:tblLook w:firstColumn="1" w:firstRow="1" w:lastColumn="0" w:lastRow="0" w:noHBand="0" w:noVBand="1" w:val="04A0"/>
      </w:tblPr>
      <w:tblGrid>
        <w:gridCol w:w="3213"/>
        <w:gridCol w:w="3213"/>
        <w:gridCol w:w="3213"/>
      </w:tblGrid>
      <w:tr>
        <w:trPr>
          <w:tblHeader/>
        </w:trPr>
        <w:tc>
          <w:tcPr>
            <w:tcW w:type="dxa" w:w="3213"/>
            <w:tcBorders>
              <w:top w:val="nil"/>
              <w:left w:val="nil"/>
              <w:bottom w:val="single" w:sz="8" w:color="14110F"/>
              <w:right w:val="nil"/>
            </w:tcBorders>
          </w:tcPr>
          <w:p>
            <w:pPr>
              <w:keepNext/>
              <w:spacing w:after="60" w:before="60"/>
            </w:pPr>
            <w:r/>
            <w:r>
              <w:rPr>
                <w:rFonts w:ascii="Arial" w:hAnsi="Arial"/>
                <w:b/>
                <w:color w:val="FC0396"/>
                <w:sz w:val="15"/>
              </w:rPr>
              <w:t>HORIZON</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MEASURE</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TARGET</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30 days</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90 days</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365 days</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bl>
    <w:p>
      <w:pPr>
        <w:spacing w:after="80"/>
      </w:pPr>
    </w:p>
    <w:p>
      <w:pPr>
        <w:ind w:left="317"/>
      </w:pPr>
      <w:r>
        <w:rPr>
          <w:rFonts w:ascii="Arial" w:hAnsi="Arial"/>
          <w:i/>
          <w:color w:val="3F3F46"/>
          <w:sz w:val="20"/>
        </w:rPr>
        <w:t>Include a measure of ongoing operation, such as editor independence or support effort, alongside launch acceptance.</w:t>
      </w:r>
    </w:p>
    <w:p>
      <w:pPr>
        <w:pStyle w:val="Heading2"/>
        <w:keepNext/>
        <w:spacing w:before="400" w:after="120"/>
      </w:pPr>
      <w:r>
        <w:rPr>
          <w:b/>
          <w:color w:val="FC0396"/>
          <w:sz w:val="30"/>
        </w:rPr>
        <w:t xml:space="preserve">3   </w:t>
      </w:r>
      <w:r>
        <w:rPr>
          <w:b/>
          <w:color w:val="14110F"/>
          <w:sz w:val="30"/>
        </w:rPr>
        <w:t>What exists today</w:t>
      </w:r>
      <w:r>
        <w:rPr>
          <w:b/>
          <w:color w:val="FC0396"/>
          <w:sz w:val="16"/>
        </w:rPr>
        <w:t xml:space="preserve">   BUYER</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Current CMS and version</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Hosting arrangement</w:t>
            </w:r>
          </w:p>
        </w:tc>
        <w:tc>
          <w:tcPr>
            <w:tcW w:type="dxa" w:w="5783"/>
            <w:tcBorders>
              <w:top w:val="nil"/>
              <w:left w:val="nil"/>
              <w:bottom w:val="single" w:sz="4" w:color="D9D9D9"/>
              <w:right w:val="nil"/>
            </w:tcBorders>
          </w:tcPr>
          <w:p>
            <w:pPr>
              <w:spacing w:after="60" w:before="60"/>
            </w:pPr>
            <w:r/>
            <w:r>
              <w:rPr>
                <w:rFonts w:ascii="Arial" w:hAnsi="Arial"/>
                <w:i/>
                <w:color w:val="3F3F46"/>
                <w:sz w:val="17"/>
              </w:rPr>
              <w:t>Vendor cloud, own cloud account, on-premise, hybrid</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Vendor support status</w:t>
            </w:r>
          </w:p>
        </w:tc>
        <w:tc>
          <w:tcPr>
            <w:tcW w:type="dxa" w:w="5783"/>
            <w:tcBorders>
              <w:top w:val="nil"/>
              <w:left w:val="nil"/>
              <w:bottom w:val="single" w:sz="4" w:color="D9D9D9"/>
              <w:right w:val="nil"/>
            </w:tcBorders>
          </w:tcPr>
          <w:p>
            <w:pPr>
              <w:spacing w:after="60" w:before="60"/>
            </w:pPr>
            <w:r/>
            <w:r>
              <w:rPr>
                <w:rFonts w:ascii="Arial" w:hAnsi="Arial"/>
                <w:i/>
                <w:color w:val="3F3F46"/>
                <w:sz w:val="17"/>
              </w:rPr>
              <w:t>In support / extended support / ended, with the date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Front end</w:t>
            </w:r>
          </w:p>
        </w:tc>
        <w:tc>
          <w:tcPr>
            <w:tcW w:type="dxa" w:w="5783"/>
            <w:tcBorders>
              <w:top w:val="nil"/>
              <w:left w:val="nil"/>
              <w:bottom w:val="single" w:sz="4" w:color="D9D9D9"/>
              <w:right w:val="nil"/>
            </w:tcBorders>
          </w:tcPr>
          <w:p>
            <w:pPr>
              <w:spacing w:after="60" w:before="60"/>
            </w:pPr>
            <w:r/>
            <w:r>
              <w:rPr>
                <w:rFonts w:ascii="Arial" w:hAnsi="Arial"/>
                <w:i/>
                <w:color w:val="3F3F46"/>
                <w:sz w:val="17"/>
              </w:rPr>
              <w:t>Framework, version, who maintains it, whether it is in scope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Search</w:t>
            </w:r>
          </w:p>
        </w:tc>
        <w:tc>
          <w:tcPr>
            <w:tcW w:type="dxa" w:w="5783"/>
            <w:tcBorders>
              <w:top w:val="nil"/>
              <w:left w:val="nil"/>
              <w:bottom w:val="single" w:sz="4" w:color="D9D9D9"/>
              <w:right w:val="nil"/>
            </w:tcBorders>
          </w:tcPr>
          <w:p>
            <w:pPr>
              <w:spacing w:after="60" w:before="60"/>
            </w:pPr>
            <w:r/>
            <w:r>
              <w:rPr>
                <w:rFonts w:ascii="Arial" w:hAnsi="Arial"/>
                <w:i/>
                <w:color w:val="3F3F46"/>
                <w:sz w:val="17"/>
              </w:rPr>
              <w:t>Platform search, Elastic, Algolia, none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Number of sites or properties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Number of content types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Number of named editors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Number of concurrent editors at peak</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Roles in use today</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Traffic</w:t>
            </w:r>
          </w:p>
        </w:tc>
        <w:tc>
          <w:tcPr>
            <w:tcW w:type="dxa" w:w="5783"/>
            <w:tcBorders>
              <w:top w:val="nil"/>
              <w:left w:val="nil"/>
              <w:bottom w:val="single" w:sz="4" w:color="D9D9D9"/>
              <w:right w:val="nil"/>
            </w:tcBorders>
          </w:tcPr>
          <w:p>
            <w:pPr>
              <w:spacing w:after="60" w:before="60"/>
            </w:pPr>
            <w:r/>
            <w:r>
              <w:rPr>
                <w:rFonts w:ascii="Arial" w:hAnsi="Arial"/>
                <w:i/>
                <w:color w:val="3F3F46"/>
                <w:sz w:val="17"/>
              </w:rPr>
              <w:t>Monthly sessions, peak day, geographic split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Environments</w:t>
            </w:r>
          </w:p>
        </w:tc>
        <w:tc>
          <w:tcPr>
            <w:tcW w:type="dxa" w:w="5783"/>
            <w:tcBorders>
              <w:top w:val="nil"/>
              <w:left w:val="nil"/>
              <w:bottom w:val="single" w:sz="4" w:color="D9D9D9"/>
              <w:right w:val="nil"/>
            </w:tcBorders>
          </w:tcPr>
          <w:p>
            <w:pPr>
              <w:spacing w:after="60" w:before="60"/>
            </w:pPr>
            <w:r/>
            <w:r>
              <w:rPr>
                <w:rFonts w:ascii="Arial" w:hAnsi="Arial"/>
                <w:i/>
                <w:color w:val="3F3F46"/>
                <w:sz w:val="17"/>
              </w:rPr>
              <w:t>Prod, staging, dev — and whether they match</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Deployment process</w:t>
            </w:r>
          </w:p>
        </w:tc>
        <w:tc>
          <w:tcPr>
            <w:tcW w:type="dxa" w:w="5783"/>
            <w:tcBorders>
              <w:top w:val="nil"/>
              <w:left w:val="nil"/>
              <w:bottom w:val="single" w:sz="4" w:color="D9D9D9"/>
              <w:right w:val="nil"/>
            </w:tcBorders>
          </w:tcPr>
          <w:p>
            <w:pPr>
              <w:spacing w:after="60" w:before="60"/>
            </w:pPr>
            <w:r/>
            <w:r>
              <w:rPr>
                <w:rFonts w:ascii="Arial" w:hAnsi="Arial"/>
                <w:i/>
                <w:color w:val="3F3F46"/>
                <w:sz w:val="17"/>
              </w:rPr>
              <w:t>Who can deploy, how often, how long it takes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CI/CD in place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Documentation that exists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Documentation that does not exist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Named problems</w:t>
            </w:r>
          </w:p>
        </w:tc>
        <w:tc>
          <w:tcPr>
            <w:tcW w:type="dxa" w:w="5783"/>
            <w:tcBorders>
              <w:top w:val="nil"/>
              <w:left w:val="nil"/>
              <w:bottom w:val="single" w:sz="4" w:color="D9D9D9"/>
              <w:right w:val="nil"/>
            </w:tcBorders>
          </w:tcPr>
          <w:p>
            <w:pPr>
              <w:spacing w:after="60" w:before="60"/>
            </w:pPr>
            <w:r/>
            <w:r>
              <w:rPr>
                <w:rFonts w:ascii="Arial" w:hAnsi="Arial"/>
                <w:i/>
                <w:color w:val="3F3F46"/>
                <w:sz w:val="17"/>
              </w:rPr>
              <w:t>Specific and measurable. "Publishing takes 45 minutes and needs a developer to push manually", rather than "it's slow"</w:t>
            </w:r>
          </w:p>
        </w:tc>
      </w:tr>
    </w:tbl>
    <w:p>
      <w:pPr>
        <w:spacing w:after="80"/>
      </w:pPr>
    </w:p>
    <w:p>
      <w:pPr>
        <w:ind w:left="317"/>
      </w:pPr>
      <w:r>
        <w:rPr>
          <w:rFonts w:ascii="Arial" w:hAnsi="Arial"/>
          <w:i/>
          <w:color w:val="3F3F46"/>
          <w:sz w:val="20"/>
        </w:rPr>
        <w:t>The documentation gap is a line item. A vendor who is not told about it does not price discovery for it, and discovery happens anyway once the project starts.</w:t>
      </w:r>
    </w:p>
    <w:p>
      <w:r>
        <w:rPr>
          <w:rFonts w:ascii="Arial" w:hAnsi="Arial"/>
          <w:b/>
          <w:color w:val="14110F"/>
          <w:sz w:val="22"/>
        </w:rPr>
        <w:t>Access for bidders.</w:t>
      </w:r>
      <w:r>
        <w:rPr>
          <w:rFonts w:ascii="Arial" w:hAnsi="Arial"/>
          <w:color w:val="14110F"/>
          <w:sz w:val="22"/>
        </w:rPr>
        <w:t xml:space="preserve"> State what shortlisted vendors will be given and when: a read-only CMS login, a database schema export, an anonymised content sample, a sitemap, an analytics export. Give vendors enough access to state a price basis and identify remaining assumptions.</w:t>
      </w:r>
    </w:p>
    <w:p>
      <w:pPr>
        <w:pStyle w:val="Heading2"/>
        <w:keepNext/>
        <w:spacing w:before="400" w:after="120"/>
      </w:pPr>
      <w:r>
        <w:rPr>
          <w:b/>
          <w:color w:val="FC0396"/>
          <w:sz w:val="30"/>
        </w:rPr>
        <w:t xml:space="preserve">4   </w:t>
      </w:r>
      <w:r>
        <w:rPr>
          <w:b/>
          <w:color w:val="14110F"/>
          <w:sz w:val="30"/>
        </w:rPr>
        <w:t>Content inventory</w:t>
      </w:r>
      <w:r>
        <w:rPr>
          <w:b/>
          <w:color w:val="FC0396"/>
          <w:sz w:val="16"/>
        </w:rPr>
        <w:t xml:space="preserve">   BUYER</w:t>
      </w:r>
    </w:p>
    <w:p>
      <w:r>
        <w:rPr>
          <w:rFonts w:ascii="Arial" w:hAnsi="Arial"/>
          <w:color w:val="14110F"/>
          <w:sz w:val="22"/>
        </w:rPr>
        <w:t>The inventory gives vendors a basis for pricing content migration. Appendix A provides the column set.</w:t>
      </w:r>
    </w:p>
    <w:tbl>
      <w:tblPr>
        <w:tblW w:type="auto" w:w="0"/>
        <w:jc w:val="left"/>
        <w:tblLayout w:type="fixed"/>
        <w:tblLook w:firstColumn="1" w:firstRow="1" w:lastColumn="0" w:lastRow="0" w:noHBand="0" w:noVBand="1" w:val="04A0"/>
      </w:tblPr>
      <w:tblGrid>
        <w:gridCol w:w="1377"/>
        <w:gridCol w:w="1377"/>
        <w:gridCol w:w="1377"/>
        <w:gridCol w:w="1377"/>
        <w:gridCol w:w="1377"/>
        <w:gridCol w:w="1377"/>
        <w:gridCol w:w="1377"/>
      </w:tblGrid>
      <w:tr>
        <w:trPr>
          <w:tblHeader/>
        </w:trPr>
        <w:tc>
          <w:tcPr>
            <w:tcW w:type="dxa" w:w="1377"/>
            <w:tcBorders>
              <w:top w:val="nil"/>
              <w:left w:val="nil"/>
              <w:bottom w:val="single" w:sz="8" w:color="14110F"/>
              <w:right w:val="nil"/>
            </w:tcBorders>
          </w:tcPr>
          <w:p>
            <w:pPr>
              <w:keepNext/>
              <w:spacing w:after="60" w:before="60"/>
            </w:pPr>
            <w:r/>
            <w:r>
              <w:rPr>
                <w:rFonts w:ascii="Arial" w:hAnsi="Arial"/>
                <w:b/>
                <w:color w:val="FC0396"/>
                <w:sz w:val="15"/>
              </w:rPr>
              <w:t>CONTENT TYPE</w:t>
            </w:r>
          </w:p>
        </w:tc>
        <w:tc>
          <w:tcPr>
            <w:tcW w:type="dxa" w:w="1377"/>
            <w:tcBorders>
              <w:top w:val="nil"/>
              <w:left w:val="nil"/>
              <w:bottom w:val="single" w:sz="8" w:color="14110F"/>
              <w:right w:val="nil"/>
            </w:tcBorders>
          </w:tcPr>
          <w:p>
            <w:pPr>
              <w:keepNext/>
              <w:spacing w:after="60" w:before="60"/>
            </w:pPr>
            <w:r/>
            <w:r>
              <w:rPr>
                <w:rFonts w:ascii="Arial" w:hAnsi="Arial"/>
                <w:b/>
                <w:color w:val="FC0396"/>
                <w:sz w:val="15"/>
              </w:rPr>
              <w:t>ITEM COUNT</w:t>
            </w:r>
          </w:p>
        </w:tc>
        <w:tc>
          <w:tcPr>
            <w:tcW w:type="dxa" w:w="1377"/>
            <w:tcBorders>
              <w:top w:val="nil"/>
              <w:left w:val="nil"/>
              <w:bottom w:val="single" w:sz="8" w:color="14110F"/>
              <w:right w:val="nil"/>
            </w:tcBorders>
          </w:tcPr>
          <w:p>
            <w:pPr>
              <w:keepNext/>
              <w:spacing w:after="60" w:before="60"/>
            </w:pPr>
            <w:r/>
            <w:r>
              <w:rPr>
                <w:rFonts w:ascii="Arial" w:hAnsi="Arial"/>
                <w:b/>
                <w:color w:val="FC0396"/>
                <w:sz w:val="15"/>
              </w:rPr>
              <w:t>RICH TEXT?</w:t>
            </w:r>
          </w:p>
        </w:tc>
        <w:tc>
          <w:tcPr>
            <w:tcW w:type="dxa" w:w="1377"/>
            <w:tcBorders>
              <w:top w:val="nil"/>
              <w:left w:val="nil"/>
              <w:bottom w:val="single" w:sz="8" w:color="14110F"/>
              <w:right w:val="nil"/>
            </w:tcBorders>
          </w:tcPr>
          <w:p>
            <w:pPr>
              <w:keepNext/>
              <w:spacing w:after="60" w:before="60"/>
            </w:pPr>
            <w:r/>
            <w:r>
              <w:rPr>
                <w:rFonts w:ascii="Arial" w:hAnsi="Arial"/>
                <w:b/>
                <w:color w:val="FC0396"/>
                <w:sz w:val="15"/>
              </w:rPr>
              <w:t>EMBEDDED COMPONENTS?</w:t>
            </w:r>
          </w:p>
        </w:tc>
        <w:tc>
          <w:tcPr>
            <w:tcW w:type="dxa" w:w="1377"/>
            <w:tcBorders>
              <w:top w:val="nil"/>
              <w:left w:val="nil"/>
              <w:bottom w:val="single" w:sz="8" w:color="14110F"/>
              <w:right w:val="nil"/>
            </w:tcBorders>
          </w:tcPr>
          <w:p>
            <w:pPr>
              <w:keepNext/>
              <w:spacing w:after="60" w:before="60"/>
            </w:pPr>
            <w:r/>
            <w:r>
              <w:rPr>
                <w:rFonts w:ascii="Arial" w:hAnsi="Arial"/>
                <w:b/>
                <w:color w:val="FC0396"/>
                <w:sz w:val="15"/>
              </w:rPr>
              <w:t>MEDIA ITEMS</w:t>
            </w:r>
          </w:p>
        </w:tc>
        <w:tc>
          <w:tcPr>
            <w:tcW w:type="dxa" w:w="1377"/>
            <w:tcBorders>
              <w:top w:val="nil"/>
              <w:left w:val="nil"/>
              <w:bottom w:val="single" w:sz="8" w:color="14110F"/>
              <w:right w:val="nil"/>
            </w:tcBorders>
          </w:tcPr>
          <w:p>
            <w:pPr>
              <w:keepNext/>
              <w:spacing w:after="60" w:before="60"/>
            </w:pPr>
            <w:r/>
            <w:r>
              <w:rPr>
                <w:rFonts w:ascii="Arial" w:hAnsi="Arial"/>
                <w:b/>
                <w:color w:val="FC0396"/>
                <w:sz w:val="15"/>
              </w:rPr>
              <w:t>LANGUAGES</w:t>
            </w:r>
          </w:p>
        </w:tc>
        <w:tc>
          <w:tcPr>
            <w:tcW w:type="dxa" w:w="1377"/>
            <w:tcBorders>
              <w:top w:val="nil"/>
              <w:left w:val="nil"/>
              <w:bottom w:val="single" w:sz="8" w:color="14110F"/>
              <w:right w:val="nil"/>
            </w:tcBorders>
          </w:tcPr>
          <w:p>
            <w:pPr>
              <w:keepNext/>
              <w:spacing w:after="60" w:before="60"/>
            </w:pPr>
            <w:r/>
            <w:r>
              <w:rPr>
                <w:rFonts w:ascii="Arial" w:hAnsi="Arial"/>
                <w:b/>
                <w:color w:val="FC0396"/>
                <w:sz w:val="15"/>
              </w:rPr>
              <w:t>MIGRATE / ARCHIVE / DROP</w:t>
            </w:r>
          </w:p>
        </w:tc>
      </w:tr>
      <w:tr>
        <w:trPr>
          <w:cantSplit/>
        </w:trPr>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r>
      <w:tr>
        <w:trPr>
          <w:cantSplit/>
        </w:trPr>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r>
      <w:tr>
        <w:trPr>
          <w:cantSplit/>
        </w:trPr>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r>
      <w:tr>
        <w:trPr>
          <w:cantSplit/>
        </w:trPr>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r>
      <w:tr>
        <w:trPr>
          <w:cantSplit/>
        </w:trPr>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c>
          <w:tcPr>
            <w:tcW w:type="dxa" w:w="1377"/>
            <w:tcBorders>
              <w:top w:val="nil"/>
              <w:left w:val="nil"/>
              <w:bottom w:val="single" w:sz="4" w:color="D9D9D9"/>
              <w:right w:val="nil"/>
            </w:tcBorders>
          </w:tcPr>
          <w:p>
            <w:pPr>
              <w:spacing w:after="60" w:before="60"/>
            </w:pPr>
            <w:r/>
            <w:r>
              <w:rPr>
                <w:sz w:val="22"/>
              </w:rPr>
              <w:t xml:space="preserve"> </w:t>
            </w:r>
          </w:p>
        </w:tc>
      </w:tr>
    </w:tbl>
    <w:p>
      <w:pPr>
        <w:spacing w:after="80"/>
      </w:pPr>
    </w:p>
    <w:p>
      <w:r>
        <w:rPr>
          <w:rFonts w:ascii="Arial" w:hAnsi="Arial"/>
          <w:b/>
          <w:color w:val="14110F"/>
          <w:sz w:val="22"/>
        </w:rPr>
        <w:t>Totals</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Total items in the current system</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Items proposed for migration</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Items proposed for archive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Items proposed to drop</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Media library size (items and GB)</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Documents and PDFs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Oldest content still receiving traffic</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Content nobody has opened in 24 months</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r>
        <w:rPr>
          <w:rFonts w:ascii="Arial" w:hAnsi="Arial"/>
          <w:b/>
          <w:color w:val="14110F"/>
          <w:sz w:val="22"/>
        </w:rPr>
        <w:t>Rationalisation.</w:t>
      </w:r>
      <w:r>
        <w:rPr>
          <w:rFonts w:ascii="Arial" w:hAnsi="Arial"/>
          <w:color w:val="14110F"/>
          <w:sz w:val="22"/>
        </w:rPr>
        <w:t xml:space="preserve"> Have content owners decide what to migrate, archive or remove before the RFP goes out. Record retention obligations and traffic evidence for that decision. If a decision is pending, ask vendors to price the affected volume explicitly.</w:t>
      </w:r>
    </w:p>
    <w:p>
      <w:r>
        <w:rPr>
          <w:rFonts w:ascii="Arial" w:hAnsi="Arial"/>
          <w:b/>
          <w:color w:val="14110F"/>
          <w:sz w:val="22"/>
        </w:rPr>
        <w:t>Content quality flags.</w:t>
      </w:r>
      <w:r>
        <w:rPr>
          <w:rFonts w:ascii="Arial" w:hAnsi="Arial"/>
          <w:color w:val="14110F"/>
          <w:sz w:val="22"/>
        </w:rPr>
        <w:t xml:space="preserve"> </w:t>
      </w:r>
      <w:r>
        <w:rPr>
          <w:rFonts w:ascii="Arial" w:hAnsi="Arial"/>
          <w:i/>
          <w:color w:val="14110F"/>
          <w:sz w:val="22"/>
        </w:rPr>
        <w:t>Say which apply. Each has a cost.</w:t>
      </w:r>
    </w:p>
    <w:p>
      <w:pPr>
        <w:spacing w:after="60"/>
        <w:ind w:left="317"/>
      </w:pPr>
      <w:r>
        <w:rPr>
          <w:color w:val="71717A"/>
          <w:sz w:val="24"/>
        </w:rPr>
        <w:t xml:space="preserve">☐  </w:t>
      </w:r>
      <w:r>
        <w:rPr>
          <w:rFonts w:ascii="Arial" w:hAnsi="Arial"/>
          <w:color w:val="14110F"/>
          <w:sz w:val="22"/>
        </w:rPr>
        <w:t>Rich text contains inline HTML pasted from Word</w:t>
      </w:r>
    </w:p>
    <w:p>
      <w:pPr>
        <w:spacing w:after="60"/>
        <w:ind w:left="317"/>
      </w:pPr>
      <w:r>
        <w:rPr>
          <w:color w:val="71717A"/>
          <w:sz w:val="24"/>
        </w:rPr>
        <w:t xml:space="preserve">☐  </w:t>
      </w:r>
      <w:r>
        <w:rPr>
          <w:rFonts w:ascii="Arial" w:hAnsi="Arial"/>
          <w:color w:val="14110F"/>
          <w:sz w:val="22"/>
        </w:rPr>
        <w:t>Pages are assembled from platform-specific block or widget types</w:t>
      </w:r>
    </w:p>
    <w:p>
      <w:pPr>
        <w:spacing w:after="60"/>
        <w:ind w:left="317"/>
      </w:pPr>
      <w:r>
        <w:rPr>
          <w:color w:val="71717A"/>
          <w:sz w:val="24"/>
        </w:rPr>
        <w:t xml:space="preserve">☐  </w:t>
      </w:r>
      <w:r>
        <w:rPr>
          <w:rFonts w:ascii="Arial" w:hAnsi="Arial"/>
          <w:color w:val="14110F"/>
          <w:sz w:val="22"/>
        </w:rPr>
        <w:t>Entries reference each other by internal ID</w:t>
      </w:r>
    </w:p>
    <w:p>
      <w:pPr>
        <w:spacing w:after="60"/>
        <w:ind w:left="317"/>
      </w:pPr>
      <w:r>
        <w:rPr>
          <w:color w:val="71717A"/>
          <w:sz w:val="24"/>
        </w:rPr>
        <w:t xml:space="preserve">☐  </w:t>
      </w:r>
      <w:r>
        <w:rPr>
          <w:rFonts w:ascii="Arial" w:hAnsi="Arial"/>
          <w:color w:val="14110F"/>
          <w:sz w:val="22"/>
        </w:rPr>
        <w:t>Media is referenced by absolute URL rather than by asset ID</w:t>
      </w:r>
    </w:p>
    <w:p>
      <w:pPr>
        <w:spacing w:after="60"/>
        <w:ind w:left="317"/>
      </w:pPr>
      <w:r>
        <w:rPr>
          <w:color w:val="71717A"/>
          <w:sz w:val="24"/>
        </w:rPr>
        <w:t xml:space="preserve">☐  </w:t>
      </w:r>
      <w:r>
        <w:rPr>
          <w:rFonts w:ascii="Arial" w:hAnsi="Arial"/>
          <w:color w:val="14110F"/>
          <w:sz w:val="22"/>
        </w:rPr>
        <w:t>Metadata is stored inconsistently across older content</w:t>
      </w:r>
    </w:p>
    <w:p>
      <w:pPr>
        <w:spacing w:after="60"/>
        <w:ind w:left="317"/>
      </w:pPr>
      <w:r>
        <w:rPr>
          <w:color w:val="71717A"/>
          <w:sz w:val="24"/>
        </w:rPr>
        <w:t xml:space="preserve">☐  </w:t>
      </w:r>
      <w:r>
        <w:rPr>
          <w:rFonts w:ascii="Arial" w:hAnsi="Arial"/>
          <w:color w:val="14110F"/>
          <w:sz w:val="22"/>
        </w:rPr>
        <w:t>Some content exists only inside a page builder's proprietary format</w:t>
      </w:r>
    </w:p>
    <w:p>
      <w:pPr>
        <w:spacing w:after="60"/>
        <w:ind w:left="317"/>
      </w:pPr>
      <w:r>
        <w:rPr>
          <w:color w:val="71717A"/>
          <w:sz w:val="24"/>
        </w:rPr>
        <w:t xml:space="preserve">☐  </w:t>
      </w:r>
      <w:r>
        <w:rPr>
          <w:rFonts w:ascii="Arial" w:hAnsi="Arial"/>
          <w:color w:val="14110F"/>
          <w:sz w:val="22"/>
        </w:rPr>
        <w:t>Taxonomy has drifted, with duplicate or near-duplicate terms</w:t>
      </w:r>
    </w:p>
    <w:p>
      <w:pPr>
        <w:spacing w:after="60"/>
        <w:ind w:left="317"/>
      </w:pPr>
      <w:r>
        <w:rPr>
          <w:color w:val="71717A"/>
          <w:sz w:val="24"/>
        </w:rPr>
        <w:t xml:space="preserve">☐  </w:t>
      </w:r>
      <w:r>
        <w:rPr>
          <w:rFonts w:ascii="Arial" w:hAnsi="Arial"/>
          <w:color w:val="14110F"/>
          <w:sz w:val="22"/>
        </w:rPr>
        <w:t>Content includes embedded forms, tables, or interactive components</w:t>
      </w:r>
    </w:p>
    <w:p>
      <w:pPr>
        <w:ind w:left="317"/>
      </w:pPr>
      <w:r>
        <w:rPr>
          <w:rFonts w:ascii="Arial" w:hAnsi="Arial"/>
          <w:i/>
          <w:color w:val="3F3F46"/>
          <w:sz w:val="20"/>
        </w:rPr>
        <w:t>Ask vendors to explain the transformation and validation required for each checked item. Include manual handling in their price basis.</w:t>
      </w:r>
    </w:p>
    <w:p>
      <w:pPr>
        <w:pStyle w:val="Heading2"/>
        <w:keepNext/>
        <w:spacing w:before="400" w:after="120"/>
      </w:pPr>
      <w:r>
        <w:rPr>
          <w:b/>
          <w:color w:val="FC0396"/>
          <w:sz w:val="30"/>
        </w:rPr>
        <w:t xml:space="preserve">5   </w:t>
      </w:r>
      <w:r>
        <w:rPr>
          <w:b/>
          <w:color w:val="14110F"/>
          <w:sz w:val="30"/>
        </w:rPr>
        <w:t>Content model and editorial workflow today</w:t>
      </w:r>
      <w:r>
        <w:rPr>
          <w:b/>
          <w:color w:val="FC0396"/>
          <w:sz w:val="16"/>
        </w:rPr>
        <w:t xml:space="preserve">   BUYER</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How a page is created today, step by step</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Who reviews before publish</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How approval is recorded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Whether scheduled publishing is used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Whether versioning and rollback are used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Whether an audit trail is required, and by whom</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Where the current process breaks down</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What must survive the migration unchanged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What you want to change</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pPr>
        <w:ind w:left="317"/>
      </w:pPr>
      <w:r>
        <w:rPr>
          <w:rFonts w:ascii="Arial" w:hAnsi="Arial"/>
          <w:i/>
          <w:color w:val="3F3F46"/>
          <w:sz w:val="20"/>
        </w:rPr>
        <w:t>Separate required controls from workflows you want to improve. Name the policy owner for mandatory approvals and the business owner for proposed changes.</w:t>
      </w:r>
    </w:p>
    <w:p>
      <w:r>
        <w:rPr>
          <w:rFonts w:ascii="Arial" w:hAnsi="Arial"/>
          <w:b/>
          <w:color w:val="14110F"/>
          <w:sz w:val="22"/>
        </w:rPr>
        <w:t>Governance requirements.</w:t>
      </w:r>
      <w:r>
        <w:rPr>
          <w:rFonts w:ascii="Arial" w:hAnsi="Arial"/>
          <w:color w:val="14110F"/>
          <w:sz w:val="22"/>
        </w:rPr>
        <w:t xml:space="preserve"> </w:t>
      </w:r>
      <w:r>
        <w:rPr>
          <w:rFonts w:ascii="Arial" w:hAnsi="Arial"/>
          <w:i/>
          <w:color w:val="14110F"/>
          <w:sz w:val="22"/>
        </w:rPr>
        <w:t>Tick what applies and name the authority that requires it.</w:t>
      </w:r>
    </w:p>
    <w:p>
      <w:pPr>
        <w:spacing w:after="60"/>
        <w:ind w:left="317"/>
      </w:pPr>
      <w:r>
        <w:rPr>
          <w:color w:val="71717A"/>
          <w:sz w:val="24"/>
        </w:rPr>
        <w:t xml:space="preserve">☐  </w:t>
      </w:r>
      <w:r>
        <w:rPr>
          <w:rFonts w:ascii="Arial" w:hAnsi="Arial"/>
          <w:color w:val="14110F"/>
          <w:sz w:val="22"/>
        </w:rPr>
        <w:t>Role-based access control at collection level</w:t>
      </w:r>
    </w:p>
    <w:p>
      <w:pPr>
        <w:spacing w:after="60"/>
        <w:ind w:left="317"/>
      </w:pPr>
      <w:r>
        <w:rPr>
          <w:color w:val="71717A"/>
          <w:sz w:val="24"/>
        </w:rPr>
        <w:t xml:space="preserve">☐  </w:t>
      </w:r>
      <w:r>
        <w:rPr>
          <w:rFonts w:ascii="Arial" w:hAnsi="Arial"/>
          <w:color w:val="14110F"/>
          <w:sz w:val="22"/>
        </w:rPr>
        <w:t xml:space="preserve">Field-level permissions </w:t>
      </w:r>
      <w:r>
        <w:rPr>
          <w:rFonts w:ascii="Arial" w:hAnsi="Arial"/>
          <w:i/>
          <w:color w:val="14110F"/>
          <w:sz w:val="22"/>
        </w:rPr>
        <w:t>(e.g. an agency edits alt text and nothing else)</w:t>
      </w:r>
    </w:p>
    <w:p>
      <w:pPr>
        <w:spacing w:after="60"/>
        <w:ind w:left="317"/>
      </w:pPr>
      <w:r>
        <w:rPr>
          <w:color w:val="71717A"/>
          <w:sz w:val="24"/>
        </w:rPr>
        <w:t xml:space="preserve">☐  </w:t>
      </w:r>
      <w:r>
        <w:rPr>
          <w:rFonts w:ascii="Arial" w:hAnsi="Arial"/>
          <w:color w:val="14110F"/>
          <w:sz w:val="22"/>
        </w:rPr>
        <w:t>Multi-step approval before publish</w:t>
      </w:r>
    </w:p>
    <w:p>
      <w:pPr>
        <w:spacing w:after="60"/>
        <w:ind w:left="317"/>
      </w:pPr>
      <w:r>
        <w:rPr>
          <w:color w:val="71717A"/>
          <w:sz w:val="24"/>
        </w:rPr>
        <w:t xml:space="preserve">☐  </w:t>
      </w:r>
      <w:r>
        <w:rPr>
          <w:rFonts w:ascii="Arial" w:hAnsi="Arial"/>
          <w:color w:val="14110F"/>
          <w:sz w:val="22"/>
        </w:rPr>
        <w:t>Separate approval path per brand, region, or business unit</w:t>
      </w:r>
    </w:p>
    <w:p>
      <w:pPr>
        <w:spacing w:after="60"/>
        <w:ind w:left="317"/>
      </w:pPr>
      <w:r>
        <w:rPr>
          <w:color w:val="71717A"/>
          <w:sz w:val="24"/>
        </w:rPr>
        <w:t xml:space="preserve">☐  </w:t>
      </w:r>
      <w:r>
        <w:rPr>
          <w:rFonts w:ascii="Arial" w:hAnsi="Arial"/>
          <w:color w:val="14110F"/>
          <w:sz w:val="22"/>
        </w:rPr>
        <w:t>Immutable audit log of who published what and when</w:t>
      </w:r>
    </w:p>
    <w:p>
      <w:pPr>
        <w:spacing w:after="60"/>
        <w:ind w:left="317"/>
      </w:pPr>
      <w:r>
        <w:rPr>
          <w:color w:val="71717A"/>
          <w:sz w:val="24"/>
        </w:rPr>
        <w:t xml:space="preserve">☐  </w:t>
      </w:r>
      <w:r>
        <w:rPr>
          <w:rFonts w:ascii="Arial" w:hAnsi="Arial"/>
          <w:color w:val="14110F"/>
          <w:sz w:val="22"/>
        </w:rPr>
        <w:t>Legal or compliance sign-off gate on named content types</w:t>
      </w:r>
    </w:p>
    <w:p>
      <w:pPr>
        <w:spacing w:after="60"/>
        <w:ind w:left="317"/>
      </w:pPr>
      <w:r>
        <w:rPr>
          <w:color w:val="71717A"/>
          <w:sz w:val="24"/>
        </w:rPr>
        <w:t xml:space="preserve">☐  </w:t>
      </w:r>
      <w:r>
        <w:rPr>
          <w:rFonts w:ascii="Arial" w:hAnsi="Arial"/>
          <w:color w:val="14110F"/>
          <w:sz w:val="22"/>
        </w:rPr>
        <w:t>Scheduled publish and unpublish</w:t>
      </w:r>
    </w:p>
    <w:p>
      <w:pPr>
        <w:spacing w:after="60"/>
        <w:ind w:left="317"/>
      </w:pPr>
      <w:r>
        <w:rPr>
          <w:color w:val="71717A"/>
          <w:sz w:val="24"/>
        </w:rPr>
        <w:t xml:space="preserve">☐  </w:t>
      </w:r>
      <w:r>
        <w:rPr>
          <w:rFonts w:ascii="Arial" w:hAnsi="Arial"/>
          <w:color w:val="14110F"/>
          <w:sz w:val="22"/>
        </w:rPr>
        <w:t>Content expiry and review reminders</w:t>
      </w:r>
    </w:p>
    <w:p>
      <w:pPr>
        <w:pStyle w:val="Heading2"/>
        <w:keepNext/>
        <w:spacing w:before="400" w:after="120"/>
      </w:pPr>
      <w:r>
        <w:rPr>
          <w:b/>
          <w:color w:val="FC0396"/>
          <w:sz w:val="30"/>
        </w:rPr>
        <w:t xml:space="preserve">6   </w:t>
      </w:r>
      <w:r>
        <w:rPr>
          <w:b/>
          <w:color w:val="14110F"/>
          <w:sz w:val="30"/>
        </w:rPr>
        <w:t>Integration register</w:t>
      </w:r>
      <w:r>
        <w:rPr>
          <w:b/>
          <w:color w:val="FC0396"/>
          <w:sz w:val="16"/>
        </w:rPr>
        <w:t xml:space="preserve">   BUYER</w:t>
      </w:r>
    </w:p>
    <w:p>
      <w:r>
        <w:rPr>
          <w:rFonts w:ascii="Arial" w:hAnsi="Arial"/>
          <w:color w:val="14110F"/>
          <w:sz w:val="22"/>
        </w:rPr>
        <w:t>Every system wired into the current CMS has to be accounted for in the new one. Appendix B gives the column set. List everything you know is connected, including the ones you are unsure how.</w:t>
      </w:r>
    </w:p>
    <w:tbl>
      <w:tblPr>
        <w:tblW w:type="auto" w:w="0"/>
        <w:jc w:val="left"/>
        <w:tblLayout w:type="fixed"/>
        <w:tblLook w:firstColumn="1" w:firstRow="1" w:lastColumn="0" w:lastRow="0" w:noHBand="0" w:noVBand="1" w:val="04A0"/>
      </w:tblPr>
      <w:tblGrid>
        <w:gridCol w:w="1606"/>
        <w:gridCol w:w="1606"/>
        <w:gridCol w:w="1606"/>
        <w:gridCol w:w="1606"/>
        <w:gridCol w:w="1606"/>
        <w:gridCol w:w="1606"/>
      </w:tblGrid>
      <w:tr>
        <w:trPr>
          <w:tblHeader/>
        </w:trPr>
        <w:tc>
          <w:tcPr>
            <w:tcW w:type="dxa" w:w="1606"/>
            <w:tcBorders>
              <w:top w:val="nil"/>
              <w:left w:val="nil"/>
              <w:bottom w:val="single" w:sz="8" w:color="14110F"/>
              <w:right w:val="nil"/>
            </w:tcBorders>
          </w:tcPr>
          <w:p>
            <w:pPr>
              <w:keepNext/>
              <w:spacing w:after="60" w:before="60"/>
            </w:pPr>
            <w:r/>
            <w:r>
              <w:rPr>
                <w:rFonts w:ascii="Arial" w:hAnsi="Arial"/>
                <w:b/>
                <w:color w:val="FC0396"/>
                <w:sz w:val="15"/>
              </w:rPr>
              <w:t>SYSTEM</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PURPOSE</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DIRECTION</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OWNER</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API AVAILABLE?</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IN SCOPE?</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bl>
    <w:p>
      <w:pPr>
        <w:spacing w:after="80"/>
      </w:pPr>
    </w:p>
    <w:p>
      <w:pPr>
        <w:ind w:left="317"/>
      </w:pPr>
      <w:r>
        <w:rPr>
          <w:rFonts w:ascii="Arial" w:hAnsi="Arial"/>
          <w:i/>
          <w:color w:val="3F3F46"/>
          <w:sz w:val="20"/>
        </w:rPr>
        <w:t>Common entries: analytics, tag manager, CRM, marketing automation, CDP, search, translation management, DAM, e-commerce, product information management, single sign-on, consent management, personalisation, customer support widget, forms, payment, ERP, event registration.</w:t>
      </w:r>
    </w:p>
    <w:p>
      <w:r>
        <w:rPr>
          <w:rFonts w:ascii="Arial" w:hAnsi="Arial"/>
          <w:b/>
          <w:color w:val="14110F"/>
          <w:sz w:val="22"/>
        </w:rPr>
        <w:t>For each integration, state:</w:t>
      </w:r>
    </w:p>
    <w:p>
      <w:pPr>
        <w:pStyle w:val="ListBullet"/>
        <w:spacing w:after="60"/>
      </w:pPr>
      <w:r>
        <w:rPr>
          <w:rFonts w:ascii="Arial" w:hAnsi="Arial"/>
          <w:color w:val="14110F"/>
          <w:sz w:val="22"/>
        </w:rPr>
        <w:t>Who owns the system on your side</w:t>
      </w:r>
    </w:p>
    <w:p>
      <w:pPr>
        <w:pStyle w:val="ListBullet"/>
        <w:spacing w:after="60"/>
      </w:pPr>
      <w:r>
        <w:rPr>
          <w:rFonts w:ascii="Arial" w:hAnsi="Arial"/>
          <w:color w:val="14110F"/>
          <w:sz w:val="22"/>
        </w:rPr>
        <w:t>Whether that owner has been told this project exists</w:t>
      </w:r>
    </w:p>
    <w:p>
      <w:pPr>
        <w:pStyle w:val="ListBullet"/>
        <w:spacing w:after="60"/>
      </w:pPr>
      <w:r>
        <w:rPr>
          <w:rFonts w:ascii="Arial" w:hAnsi="Arial"/>
          <w:color w:val="14110F"/>
          <w:sz w:val="22"/>
        </w:rPr>
        <w:t>Whether the integration must work on day one or can follow</w:t>
      </w:r>
    </w:p>
    <w:p>
      <w:pPr>
        <w:pStyle w:val="ListBullet"/>
        <w:spacing w:after="60"/>
      </w:pPr>
      <w:r>
        <w:rPr>
          <w:rFonts w:ascii="Arial" w:hAnsi="Arial"/>
          <w:color w:val="14110F"/>
          <w:sz w:val="22"/>
        </w:rPr>
        <w:t>Whether the contract with that vendor is up for renewal</w:t>
      </w:r>
    </w:p>
    <w:p>
      <w:pPr>
        <w:ind w:left="317"/>
      </w:pPr>
      <w:r>
        <w:rPr>
          <w:rFonts w:ascii="Arial" w:hAnsi="Arial"/>
          <w:i/>
          <w:color w:val="3F3F46"/>
          <w:sz w:val="20"/>
        </w:rPr>
        <w:t>Confirm access, decision dates and dependencies with each integration owner, including any contract renewal during the project.</w:t>
      </w:r>
    </w:p>
    <w:p>
      <w:pPr>
        <w:pStyle w:val="Heading2"/>
        <w:keepNext/>
        <w:spacing w:before="400" w:after="120"/>
      </w:pPr>
      <w:r>
        <w:rPr>
          <w:b/>
          <w:color w:val="FC0396"/>
          <w:sz w:val="30"/>
        </w:rPr>
        <w:t xml:space="preserve">7   </w:t>
      </w:r>
      <w:r>
        <w:rPr>
          <w:b/>
          <w:color w:val="14110F"/>
          <w:sz w:val="30"/>
        </w:rPr>
        <w:t>URLs, redirects, and search continuity</w:t>
      </w:r>
      <w:r>
        <w:rPr>
          <w:b/>
          <w:color w:val="FC0396"/>
          <w:sz w:val="16"/>
        </w:rPr>
        <w:t xml:space="preserve">   BUYER</w:t>
      </w:r>
    </w:p>
    <w:p>
      <w:r>
        <w:rPr>
          <w:rFonts w:ascii="Arial" w:hAnsi="Arial"/>
          <w:color w:val="14110F"/>
          <w:sz w:val="22"/>
        </w:rPr>
        <w:t>Inventory existing URLs and map changed addresses to relevant new destinations. Google recommends keeping redirects for at least a year and monitoring both old and new URLs during a move. Temporary ranking fluctuations can still occur while Google recrawls and reindexes the site. Agree the redirect owner, test method and monitoring period before launch. See Google Search Central in Sources.</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Total indexed URLs</w:t>
            </w:r>
          </w:p>
        </w:tc>
        <w:tc>
          <w:tcPr>
            <w:tcW w:type="dxa" w:w="5783"/>
            <w:tcBorders>
              <w:top w:val="nil"/>
              <w:left w:val="nil"/>
              <w:bottom w:val="single" w:sz="4" w:color="D9D9D9"/>
              <w:right w:val="nil"/>
            </w:tcBorders>
          </w:tcPr>
          <w:p>
            <w:pPr>
              <w:spacing w:after="60" w:before="60"/>
            </w:pPr>
            <w:r/>
            <w:r>
              <w:rPr>
                <w:rFonts w:ascii="Arial" w:hAnsi="Arial"/>
                <w:i/>
                <w:color w:val="3F3F46"/>
                <w:sz w:val="17"/>
              </w:rPr>
              <w:t>Search Console coverage report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Total URLs in the sitemap</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Total URLs receiving organic traffic in 12 months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Is the URL structure changing?</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Domains and subdomains in scope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Existing redirect rules already in place</w:t>
            </w:r>
          </w:p>
        </w:tc>
        <w:tc>
          <w:tcPr>
            <w:tcW w:type="dxa" w:w="5783"/>
            <w:tcBorders>
              <w:top w:val="nil"/>
              <w:left w:val="nil"/>
              <w:bottom w:val="single" w:sz="4" w:color="D9D9D9"/>
              <w:right w:val="nil"/>
            </w:tcBorders>
          </w:tcPr>
          <w:p>
            <w:pPr>
              <w:spacing w:after="60" w:before="60"/>
            </w:pPr>
            <w:r/>
            <w:r>
              <w:rPr>
                <w:rFonts w:ascii="Arial" w:hAnsi="Arial"/>
                <w:i/>
                <w:color w:val="3F3F46"/>
                <w:sz w:val="17"/>
              </w:rPr>
              <w:t>Count and where they live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Who owns the DNS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Who owns the CDN or WAF</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Current Core Web Vitals</w:t>
            </w:r>
          </w:p>
        </w:tc>
        <w:tc>
          <w:tcPr>
            <w:tcW w:type="dxa" w:w="5783"/>
            <w:tcBorders>
              <w:top w:val="nil"/>
              <w:left w:val="nil"/>
              <w:bottom w:val="single" w:sz="4" w:color="D9D9D9"/>
              <w:right w:val="nil"/>
            </w:tcBorders>
          </w:tcPr>
          <w:p>
            <w:pPr>
              <w:spacing w:after="60" w:before="60"/>
            </w:pPr>
            <w:r/>
            <w:r>
              <w:rPr>
                <w:rFonts w:ascii="Arial" w:hAnsi="Arial"/>
                <w:i/>
                <w:color w:val="3F3F46"/>
                <w:sz w:val="17"/>
              </w:rPr>
              <w:t>From Search Console field data</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Top 50 pages by organic traffic</w:t>
            </w:r>
          </w:p>
        </w:tc>
        <w:tc>
          <w:tcPr>
            <w:tcW w:type="dxa" w:w="5783"/>
            <w:tcBorders>
              <w:top w:val="nil"/>
              <w:left w:val="nil"/>
              <w:bottom w:val="single" w:sz="4" w:color="D9D9D9"/>
              <w:right w:val="nil"/>
            </w:tcBorders>
          </w:tcPr>
          <w:p>
            <w:pPr>
              <w:spacing w:after="60" w:before="60"/>
            </w:pPr>
            <w:r/>
            <w:r>
              <w:rPr>
                <w:rFonts w:ascii="Arial" w:hAnsi="Arial"/>
                <w:i/>
                <w:color w:val="3F3F46"/>
                <w:sz w:val="17"/>
              </w:rPr>
              <w:t>Attach as an appendix</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Top 50 pages by conversion</w:t>
            </w:r>
          </w:p>
        </w:tc>
        <w:tc>
          <w:tcPr>
            <w:tcW w:type="dxa" w:w="5783"/>
            <w:tcBorders>
              <w:top w:val="nil"/>
              <w:left w:val="nil"/>
              <w:bottom w:val="single" w:sz="4" w:color="D9D9D9"/>
              <w:right w:val="nil"/>
            </w:tcBorders>
          </w:tcPr>
          <w:p>
            <w:pPr>
              <w:spacing w:after="60" w:before="60"/>
            </w:pPr>
            <w:r/>
            <w:r>
              <w:rPr>
                <w:rFonts w:ascii="Arial" w:hAnsi="Arial"/>
                <w:i/>
                <w:color w:val="3F3F46"/>
                <w:sz w:val="17"/>
              </w:rPr>
              <w:t>Attach as an appendix</w:t>
            </w:r>
          </w:p>
        </w:tc>
      </w:tr>
    </w:tbl>
    <w:p>
      <w:pPr>
        <w:spacing w:after="80"/>
      </w:pPr>
    </w:p>
    <w:p>
      <w:r>
        <w:rPr>
          <w:rFonts w:ascii="Arial" w:hAnsi="Arial"/>
          <w:b/>
          <w:color w:val="14110F"/>
          <w:sz w:val="22"/>
        </w:rPr>
        <w:t>URL categories most often missed.</w:t>
      </w:r>
      <w:r>
        <w:rPr>
          <w:rFonts w:ascii="Arial" w:hAnsi="Arial"/>
          <w:color w:val="14110F"/>
          <w:sz w:val="22"/>
        </w:rPr>
        <w:t xml:space="preserve"> </w:t>
      </w:r>
      <w:r>
        <w:rPr>
          <w:rFonts w:ascii="Arial" w:hAnsi="Arial"/>
          <w:i/>
          <w:color w:val="14110F"/>
          <w:sz w:val="22"/>
        </w:rPr>
        <w:t>Confirm each is in your count.</w:t>
      </w:r>
    </w:p>
    <w:p>
      <w:pPr>
        <w:spacing w:after="60"/>
        <w:ind w:left="317"/>
      </w:pPr>
      <w:r>
        <w:rPr>
          <w:color w:val="71717A"/>
          <w:sz w:val="24"/>
        </w:rPr>
        <w:t xml:space="preserve">☐  </w:t>
      </w:r>
      <w:r>
        <w:rPr>
          <w:rFonts w:ascii="Arial" w:hAnsi="Arial"/>
          <w:color w:val="14110F"/>
          <w:sz w:val="22"/>
        </w:rPr>
        <w:t>Paginated archive and listing pages</w:t>
      </w:r>
    </w:p>
    <w:p>
      <w:pPr>
        <w:spacing w:after="60"/>
        <w:ind w:left="317"/>
      </w:pPr>
      <w:r>
        <w:rPr>
          <w:color w:val="71717A"/>
          <w:sz w:val="24"/>
        </w:rPr>
        <w:t xml:space="preserve">☐  </w:t>
      </w:r>
      <w:r>
        <w:rPr>
          <w:rFonts w:ascii="Arial" w:hAnsi="Arial"/>
          <w:color w:val="14110F"/>
          <w:sz w:val="22"/>
        </w:rPr>
        <w:t>Tag, category, and author pages</w:t>
      </w:r>
    </w:p>
    <w:p>
      <w:pPr>
        <w:spacing w:after="60"/>
        <w:ind w:left="317"/>
      </w:pPr>
      <w:r>
        <w:rPr>
          <w:color w:val="71717A"/>
          <w:sz w:val="24"/>
        </w:rPr>
        <w:t xml:space="preserve">☐  </w:t>
      </w:r>
      <w:r>
        <w:rPr>
          <w:rFonts w:ascii="Arial" w:hAnsi="Arial"/>
          <w:color w:val="14110F"/>
          <w:sz w:val="22"/>
        </w:rPr>
        <w:t>Filtered or faceted URLs that are indexed</w:t>
      </w:r>
    </w:p>
    <w:p>
      <w:pPr>
        <w:spacing w:after="60"/>
        <w:ind w:left="317"/>
      </w:pPr>
      <w:r>
        <w:rPr>
          <w:color w:val="71717A"/>
          <w:sz w:val="24"/>
        </w:rPr>
        <w:t xml:space="preserve">☐  </w:t>
      </w:r>
      <w:r>
        <w:rPr>
          <w:rFonts w:ascii="Arial" w:hAnsi="Arial"/>
          <w:color w:val="14110F"/>
          <w:sz w:val="22"/>
        </w:rPr>
        <w:t>PDFs and other documents</w:t>
      </w:r>
    </w:p>
    <w:p>
      <w:pPr>
        <w:spacing w:after="60"/>
        <w:ind w:left="317"/>
      </w:pPr>
      <w:r>
        <w:rPr>
          <w:color w:val="71717A"/>
          <w:sz w:val="24"/>
        </w:rPr>
        <w:t xml:space="preserve">☐  </w:t>
      </w:r>
      <w:r>
        <w:rPr>
          <w:rFonts w:ascii="Arial" w:hAnsi="Arial"/>
          <w:color w:val="14110F"/>
          <w:sz w:val="22"/>
        </w:rPr>
        <w:t>Images with inbound links</w:t>
      </w:r>
    </w:p>
    <w:p>
      <w:pPr>
        <w:spacing w:after="60"/>
        <w:ind w:left="317"/>
      </w:pPr>
      <w:r>
        <w:rPr>
          <w:color w:val="71717A"/>
          <w:sz w:val="24"/>
        </w:rPr>
        <w:t xml:space="preserve">☐  </w:t>
      </w:r>
      <w:r>
        <w:rPr>
          <w:rFonts w:ascii="Arial" w:hAnsi="Arial"/>
          <w:color w:val="14110F"/>
          <w:sz w:val="22"/>
        </w:rPr>
        <w:t>Legacy campaign landing pages outside the main navigation</w:t>
      </w:r>
    </w:p>
    <w:p>
      <w:pPr>
        <w:spacing w:after="60"/>
        <w:ind w:left="317"/>
      </w:pPr>
      <w:r>
        <w:rPr>
          <w:color w:val="71717A"/>
          <w:sz w:val="24"/>
        </w:rPr>
        <w:t xml:space="preserve">☐  </w:t>
      </w:r>
      <w:r>
        <w:rPr>
          <w:rFonts w:ascii="Arial" w:hAnsi="Arial"/>
          <w:color w:val="14110F"/>
          <w:sz w:val="22"/>
        </w:rPr>
        <w:t xml:space="preserve">Old URLs already redirecting once </w:t>
      </w:r>
      <w:r>
        <w:rPr>
          <w:rFonts w:ascii="Arial" w:hAnsi="Arial"/>
          <w:i/>
          <w:color w:val="14110F"/>
          <w:sz w:val="22"/>
        </w:rPr>
        <w:t>(chains need collapsing, not extending)</w:t>
      </w:r>
    </w:p>
    <w:p>
      <w:pPr>
        <w:spacing w:after="60"/>
        <w:ind w:left="317"/>
      </w:pPr>
      <w:r>
        <w:rPr>
          <w:color w:val="71717A"/>
          <w:sz w:val="24"/>
        </w:rPr>
        <w:t xml:space="preserve">☐  </w:t>
      </w:r>
      <w:r>
        <w:rPr>
          <w:rFonts w:ascii="Arial" w:hAnsi="Arial"/>
          <w:color w:val="14110F"/>
          <w:sz w:val="22"/>
        </w:rPr>
        <w:t>Localised and hreflang variants</w:t>
      </w:r>
    </w:p>
    <w:p>
      <w:pPr>
        <w:spacing w:after="60"/>
        <w:ind w:left="317"/>
      </w:pPr>
      <w:r>
        <w:rPr>
          <w:color w:val="71717A"/>
          <w:sz w:val="24"/>
        </w:rPr>
        <w:t xml:space="preserve">☐  </w:t>
      </w:r>
      <w:r>
        <w:rPr>
          <w:rFonts w:ascii="Arial" w:hAnsi="Arial"/>
          <w:color w:val="14110F"/>
          <w:sz w:val="22"/>
        </w:rPr>
        <w:t xml:space="preserve">Feeds, sitemaps, and </w:t>
      </w:r>
      <w:r>
        <w:rPr>
          <w:rFonts w:ascii="Consolas" w:hAnsi="Consolas"/>
          <w:color w:val="14110F"/>
          <w:sz w:val="21"/>
        </w:rPr>
        <w:t>robots.txt</w:t>
      </w:r>
    </w:p>
    <w:p>
      <w:pPr>
        <w:spacing w:after="60"/>
        <w:ind w:left="317"/>
      </w:pPr>
      <w:r>
        <w:rPr>
          <w:color w:val="71717A"/>
          <w:sz w:val="24"/>
        </w:rPr>
        <w:t xml:space="preserve">☐  </w:t>
      </w:r>
      <w:r>
        <w:rPr>
          <w:rFonts w:ascii="Arial" w:hAnsi="Arial"/>
          <w:color w:val="14110F"/>
          <w:sz w:val="22"/>
        </w:rPr>
        <w:t>Anything referenced in printed material or an email footer</w:t>
      </w:r>
    </w:p>
    <w:p>
      <w:pPr>
        <w:pStyle w:val="Heading2"/>
        <w:keepNext/>
        <w:spacing w:before="400" w:after="120"/>
      </w:pPr>
      <w:r>
        <w:rPr>
          <w:b/>
          <w:color w:val="FC0396"/>
          <w:sz w:val="30"/>
        </w:rPr>
        <w:t xml:space="preserve">8   </w:t>
      </w:r>
      <w:r>
        <w:rPr>
          <w:b/>
          <w:color w:val="14110F"/>
          <w:sz w:val="30"/>
        </w:rPr>
        <w:t>Non-functional requirements</w:t>
      </w:r>
      <w:r>
        <w:rPr>
          <w:b/>
          <w:color w:val="FC0396"/>
          <w:sz w:val="16"/>
        </w:rPr>
        <w:t xml:space="preserve">   BUYER</w:t>
      </w:r>
    </w:p>
    <w:p>
      <w:r>
        <w:rPr>
          <w:rFonts w:ascii="Arial" w:hAnsi="Arial"/>
          <w:b/>
          <w:color w:val="14110F"/>
          <w:sz w:val="22"/>
        </w:rPr>
        <w:t>Accessibility</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Target conformance</w:t>
            </w:r>
          </w:p>
        </w:tc>
        <w:tc>
          <w:tcPr>
            <w:tcW w:type="dxa" w:w="5783"/>
            <w:tcBorders>
              <w:top w:val="nil"/>
              <w:left w:val="nil"/>
              <w:bottom w:val="single" w:sz="4" w:color="D9D9D9"/>
              <w:right w:val="nil"/>
            </w:tcBorders>
          </w:tcPr>
          <w:p>
            <w:pPr>
              <w:spacing w:after="60" w:before="60"/>
            </w:pPr>
            <w:r/>
            <w:r>
              <w:rPr>
                <w:rFonts w:ascii="Arial" w:hAnsi="Arial"/>
                <w:i/>
                <w:color w:val="3F3F46"/>
                <w:sz w:val="17"/>
              </w:rPr>
              <w:t>Name the applicable standard, version, level, scope and test method; confirm with your accessibility owner</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Are you in scope for the European Accessibility Act?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 you publish a public accessibility statement?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Has an audit been done, and when?</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Known outstanding findings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Who signs off accessibility on this project?</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pPr>
        <w:ind w:left="317"/>
      </w:pPr>
      <w:r>
        <w:rPr>
          <w:rFonts w:ascii="Arial" w:hAnsi="Arial"/>
          <w:i/>
          <w:color w:val="3F3F46"/>
          <w:sz w:val="20"/>
        </w:rPr>
        <w:t>Ask your accessibility and legal owners to confirm which requirements apply to your services, jurisdiction and procurement. Record the required standard and version explicitly. Include manual testing of representative editor journeys and public templates, the audit scope, and how findings must be resolved before acceptance. An automated scan alone is not a complete conformance assessment.</w:t>
      </w:r>
    </w:p>
    <w:p>
      <w:r>
        <w:rPr>
          <w:rFonts w:ascii="Arial" w:hAnsi="Arial"/>
          <w:b/>
          <w:color w:val="14110F"/>
          <w:sz w:val="22"/>
        </w:rPr>
        <w:t>Security and compliance</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Certifications required of the vendor</w:t>
            </w:r>
          </w:p>
        </w:tc>
        <w:tc>
          <w:tcPr>
            <w:tcW w:type="dxa" w:w="5783"/>
            <w:tcBorders>
              <w:top w:val="nil"/>
              <w:left w:val="nil"/>
              <w:bottom w:val="single" w:sz="4" w:color="D9D9D9"/>
              <w:right w:val="nil"/>
            </w:tcBorders>
          </w:tcPr>
          <w:p>
            <w:pPr>
              <w:spacing w:after="60" w:before="60"/>
            </w:pPr>
            <w:r/>
            <w:r>
              <w:rPr>
                <w:rFonts w:ascii="Arial" w:hAnsi="Arial"/>
                <w:i/>
                <w:color w:val="3F3F46"/>
                <w:sz w:val="17"/>
              </w:rPr>
              <w:t>ISO 27001, SOC 2, Cyber Essentials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Are you in scope for NIS2?</w:t>
            </w:r>
          </w:p>
        </w:tc>
        <w:tc>
          <w:tcPr>
            <w:tcW w:type="dxa" w:w="5783"/>
            <w:tcBorders>
              <w:top w:val="nil"/>
              <w:left w:val="nil"/>
              <w:bottom w:val="single" w:sz="4" w:color="D9D9D9"/>
              <w:right w:val="nil"/>
            </w:tcBorders>
          </w:tcPr>
          <w:p>
            <w:pPr>
              <w:spacing w:after="60" w:before="60"/>
            </w:pPr>
            <w:r/>
            <w:r>
              <w:rPr>
                <w:rFonts w:ascii="Arial" w:hAnsi="Arial"/>
                <w:i/>
                <w:color w:val="3F3F46"/>
                <w:sz w:val="17"/>
              </w:rPr>
              <w:t>Legal/security owner to confirm applicability and local requirements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Penetration test required before launch?</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Who conducts it, and who pays?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Vulnerability disclosure process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SSO requirement</w:t>
            </w:r>
          </w:p>
        </w:tc>
        <w:tc>
          <w:tcPr>
            <w:tcW w:type="dxa" w:w="5783"/>
            <w:tcBorders>
              <w:top w:val="nil"/>
              <w:left w:val="nil"/>
              <w:bottom w:val="single" w:sz="4" w:color="D9D9D9"/>
              <w:right w:val="nil"/>
            </w:tcBorders>
          </w:tcPr>
          <w:p>
            <w:pPr>
              <w:spacing w:after="60" w:before="60"/>
            </w:pPr>
            <w:r/>
            <w:r>
              <w:rPr>
                <w:rFonts w:ascii="Arial" w:hAnsi="Arial"/>
                <w:i/>
                <w:color w:val="3F3F46"/>
                <w:sz w:val="17"/>
              </w:rPr>
              <w:t>Provider and protocol</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MFA requirement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Data classification of content in scope</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r>
        <w:rPr>
          <w:rFonts w:ascii="Arial" w:hAnsi="Arial"/>
          <w:b/>
          <w:color w:val="14110F"/>
          <w:sz w:val="22"/>
        </w:rPr>
        <w:t>Data residency and privacy</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Where must data be stored?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Where may data be processed?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Sub-processor approval process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DPA required?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Records of processing to be updated by whom</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Retention policy for content and for logs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Consent management platform in use</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r>
        <w:rPr>
          <w:rFonts w:ascii="Arial" w:hAnsi="Arial"/>
          <w:b/>
          <w:color w:val="14110F"/>
          <w:sz w:val="22"/>
        </w:rPr>
        <w:t>Performance and availability</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Core Web Vitals targets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Peak traffic to design for</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Availability target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Editorial performance target</w:t>
            </w:r>
          </w:p>
        </w:tc>
        <w:tc>
          <w:tcPr>
            <w:tcW w:type="dxa" w:w="5783"/>
            <w:tcBorders>
              <w:top w:val="nil"/>
              <w:left w:val="nil"/>
              <w:bottom w:val="single" w:sz="4" w:color="D9D9D9"/>
              <w:right w:val="nil"/>
            </w:tcBorders>
          </w:tcPr>
          <w:p>
            <w:pPr>
              <w:spacing w:after="60" w:before="60"/>
            </w:pPr>
            <w:r/>
            <w:r>
              <w:rPr>
                <w:rFonts w:ascii="Arial" w:hAnsi="Arial"/>
                <w:i/>
                <w:color w:val="3F3F46"/>
                <w:sz w:val="17"/>
              </w:rPr>
              <w:t>Time to save, publish, and preview a page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Publish-to-live latency target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Disaster recovery: RPO and RTO</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Backup frequency and retention</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pPr>
        <w:ind w:left="317"/>
      </w:pPr>
      <w:r>
        <w:rPr>
          <w:rFonts w:ascii="Arial" w:hAnsi="Arial"/>
          <w:i/>
          <w:color w:val="3F3F46"/>
          <w:sz w:val="20"/>
        </w:rPr>
        <w:t>Editorial performance is the requirement most often left out and most often complained about after launch. A platform can serve pages in 200 ms and still take eleven seconds to save a document, and the second number is the one your editors experience every day.</w:t>
      </w:r>
    </w:p>
    <w:p>
      <w:pPr>
        <w:pStyle w:val="Heading2"/>
        <w:keepNext/>
        <w:spacing w:before="400" w:after="120"/>
      </w:pPr>
      <w:r>
        <w:rPr>
          <w:b/>
          <w:color w:val="FC0396"/>
          <w:sz w:val="30"/>
        </w:rPr>
        <w:t xml:space="preserve">9   </w:t>
      </w:r>
      <w:r>
        <w:rPr>
          <w:b/>
          <w:color w:val="14110F"/>
          <w:sz w:val="30"/>
        </w:rPr>
        <w:t>Localisation, brands, and regions</w:t>
      </w:r>
      <w:r>
        <w:rPr>
          <w:b/>
          <w:color w:val="FC0396"/>
          <w:sz w:val="16"/>
        </w:rPr>
        <w:t xml:space="preserve">   BUYER</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Languages in scope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Locales in scope</w:t>
            </w:r>
          </w:p>
        </w:tc>
        <w:tc>
          <w:tcPr>
            <w:tcW w:type="dxa" w:w="5783"/>
            <w:tcBorders>
              <w:top w:val="nil"/>
              <w:left w:val="nil"/>
              <w:bottom w:val="single" w:sz="4" w:color="D9D9D9"/>
              <w:right w:val="nil"/>
            </w:tcBorders>
          </w:tcPr>
          <w:p>
            <w:pPr>
              <w:spacing w:after="60" w:before="60"/>
            </w:pPr>
            <w:r/>
            <w:r>
              <w:rPr>
                <w:rFonts w:ascii="Arial" w:hAnsi="Arial"/>
                <w:i/>
                <w:color w:val="3F3F46"/>
                <w:sz w:val="17"/>
              </w:rPr>
              <w:t>Language and region can differ</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Brands or business units on the platform</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 brands share a content model?</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 brands share a design system?</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Translation process today</w:t>
            </w:r>
          </w:p>
        </w:tc>
        <w:tc>
          <w:tcPr>
            <w:tcW w:type="dxa" w:w="5783"/>
            <w:tcBorders>
              <w:top w:val="nil"/>
              <w:left w:val="nil"/>
              <w:bottom w:val="single" w:sz="4" w:color="D9D9D9"/>
              <w:right w:val="nil"/>
            </w:tcBorders>
          </w:tcPr>
          <w:p>
            <w:pPr>
              <w:spacing w:after="60" w:before="60"/>
            </w:pPr>
            <w:r/>
            <w:r>
              <w:rPr>
                <w:rFonts w:ascii="Arial" w:hAnsi="Arial"/>
                <w:i/>
                <w:color w:val="3F3F46"/>
                <w:sz w:val="17"/>
              </w:rPr>
              <w:t>Human, machine, hybrid, agency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Translation management system, if any</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Who approves a translation</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Regional hosting or infrastructure constraints</w:t>
            </w:r>
          </w:p>
        </w:tc>
        <w:tc>
          <w:tcPr>
            <w:tcW w:type="dxa" w:w="5783"/>
            <w:tcBorders>
              <w:top w:val="nil"/>
              <w:left w:val="nil"/>
              <w:bottom w:val="single" w:sz="4" w:color="D9D9D9"/>
              <w:right w:val="nil"/>
            </w:tcBorders>
          </w:tcPr>
          <w:p>
            <w:pPr>
              <w:spacing w:after="60" w:before="60"/>
            </w:pPr>
            <w:r/>
            <w:r>
              <w:rPr>
                <w:rFonts w:ascii="Arial" w:hAnsi="Arial"/>
                <w:i/>
                <w:color w:val="3F3F46"/>
                <w:sz w:val="17"/>
              </w:rPr>
              <w:t>Including any region requiring in-country delivery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Regional compliance differences</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pPr>
        <w:pStyle w:val="Heading2"/>
        <w:keepNext/>
        <w:spacing w:before="400" w:after="120"/>
      </w:pPr>
      <w:r>
        <w:rPr>
          <w:b/>
          <w:color w:val="FC0396"/>
          <w:sz w:val="30"/>
        </w:rPr>
        <w:t xml:space="preserve">10   </w:t>
      </w:r>
      <w:r>
        <w:rPr>
          <w:b/>
          <w:color w:val="14110F"/>
          <w:sz w:val="30"/>
        </w:rPr>
        <w:t>Constraints, budget posture, and timeline</w:t>
      </w:r>
      <w:r>
        <w:rPr>
          <w:b/>
          <w:color w:val="FC0396"/>
          <w:sz w:val="16"/>
        </w:rPr>
        <w:t xml:space="preserve">   BUYER</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FIELD</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YOUR ENTRY</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Target platform, if decided</w:t>
            </w:r>
          </w:p>
        </w:tc>
        <w:tc>
          <w:tcPr>
            <w:tcW w:type="dxa" w:w="5783"/>
            <w:tcBorders>
              <w:top w:val="nil"/>
              <w:left w:val="nil"/>
              <w:bottom w:val="single" w:sz="4" w:color="D9D9D9"/>
              <w:right w:val="nil"/>
            </w:tcBorders>
          </w:tcPr>
          <w:p>
            <w:pPr>
              <w:spacing w:after="60" w:before="60"/>
            </w:pPr>
            <w:r/>
            <w:r>
              <w:rPr>
                <w:rFonts w:ascii="Arial" w:hAnsi="Arial"/>
                <w:i/>
                <w:color w:val="3F3F46"/>
                <w:sz w:val="17"/>
              </w:rPr>
              <w:t>And whether the decision is open to challenge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Platforms excluded, and why</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Technologies mandated by your architecture board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Internal team available to the project</w:t>
            </w:r>
          </w:p>
        </w:tc>
        <w:tc>
          <w:tcPr>
            <w:tcW w:type="dxa" w:w="5783"/>
            <w:tcBorders>
              <w:top w:val="nil"/>
              <w:left w:val="nil"/>
              <w:bottom w:val="single" w:sz="4" w:color="D9D9D9"/>
              <w:right w:val="nil"/>
            </w:tcBorders>
          </w:tcPr>
          <w:p>
            <w:pPr>
              <w:spacing w:after="60" w:before="60"/>
            </w:pPr>
            <w:r/>
            <w:r>
              <w:rPr>
                <w:rFonts w:ascii="Arial" w:hAnsi="Arial"/>
                <w:i/>
                <w:color w:val="3F3F46"/>
                <w:sz w:val="17"/>
              </w:rPr>
              <w:t>Roles and days per week</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Content freeze: can you have one, and for how long?</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Blackout periods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Budget range</w:t>
            </w:r>
          </w:p>
        </w:tc>
        <w:tc>
          <w:tcPr>
            <w:tcW w:type="dxa" w:w="5783"/>
            <w:tcBorders>
              <w:top w:val="nil"/>
              <w:left w:val="nil"/>
              <w:bottom w:val="single" w:sz="4" w:color="D9D9D9"/>
              <w:right w:val="nil"/>
            </w:tcBorders>
          </w:tcPr>
          <w:p>
            <w:pPr>
              <w:spacing w:after="60" w:before="60"/>
            </w:pPr>
            <w:r/>
            <w:r>
              <w:rPr>
                <w:rFonts w:ascii="Arial" w:hAnsi="Arial"/>
                <w:i/>
                <w:color w:val="3F3F46"/>
                <w:sz w:val="17"/>
              </w:rPr>
              <w:t>See the note below</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Budget approval status</w:t>
            </w:r>
          </w:p>
        </w:tc>
        <w:tc>
          <w:tcPr>
            <w:tcW w:type="dxa" w:w="5783"/>
            <w:tcBorders>
              <w:top w:val="nil"/>
              <w:left w:val="nil"/>
              <w:bottom w:val="single" w:sz="4" w:color="D9D9D9"/>
              <w:right w:val="nil"/>
            </w:tcBorders>
          </w:tcPr>
          <w:p>
            <w:pPr>
              <w:spacing w:after="60" w:before="60"/>
            </w:pPr>
            <w:r/>
            <w:r>
              <w:rPr>
                <w:rFonts w:ascii="Arial" w:hAnsi="Arial"/>
                <w:i/>
                <w:color w:val="3F3F46"/>
                <w:sz w:val="17"/>
              </w:rPr>
              <w:t>Approved, in business case, indicative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Preferred commercial model</w:t>
            </w:r>
          </w:p>
        </w:tc>
        <w:tc>
          <w:tcPr>
            <w:tcW w:type="dxa" w:w="5783"/>
            <w:tcBorders>
              <w:top w:val="nil"/>
              <w:left w:val="nil"/>
              <w:bottom w:val="single" w:sz="4" w:color="D9D9D9"/>
              <w:right w:val="nil"/>
            </w:tcBorders>
          </w:tcPr>
          <w:p>
            <w:pPr>
              <w:spacing w:after="60" w:before="60"/>
            </w:pPr>
            <w:r/>
            <w:r>
              <w:rPr>
                <w:rFonts w:ascii="Arial" w:hAnsi="Arial"/>
                <w:i/>
                <w:color w:val="3F3F46"/>
                <w:sz w:val="17"/>
              </w:rPr>
              <w:t>Fixed scope and price, time and materials, capped T&amp;M</w:t>
            </w:r>
          </w:p>
        </w:tc>
      </w:tr>
    </w:tbl>
    <w:p>
      <w:pPr>
        <w:spacing w:after="80"/>
      </w:pPr>
    </w:p>
    <w:p>
      <w:r>
        <w:rPr>
          <w:rFonts w:ascii="Arial" w:hAnsi="Arial"/>
          <w:b/>
          <w:color w:val="14110F"/>
          <w:sz w:val="22"/>
        </w:rPr>
        <w:t>On disclosing a budget range.</w:t>
      </w:r>
      <w:r>
        <w:rPr>
          <w:rFonts w:ascii="Arial" w:hAnsi="Arial"/>
          <w:color w:val="14110F"/>
          <w:sz w:val="22"/>
        </w:rPr>
        <w:t xml:space="preserve"> A range produces better responses. It lets a vendor tell you what is achievable inside it, propose a phased shape when it is not, or decline early rather than spending three weeks producing a response for a project that was never fundable. Withholding it produces proposals scoped against a guess, and the comparison exercise then measures how well each vendor guessed.</w:t>
      </w:r>
    </w:p>
    <w:p>
      <w:r>
        <w:rPr>
          <w:rFonts w:ascii="Arial" w:hAnsi="Arial"/>
          <w:b/>
          <w:color w:val="14110F"/>
          <w:sz w:val="22"/>
        </w:rPr>
        <w:t>Timeline</w:t>
      </w:r>
    </w:p>
    <w:tbl>
      <w:tblPr>
        <w:tblW w:type="auto" w:w="0"/>
        <w:jc w:val="left"/>
        <w:tblLayout w:type="fixed"/>
        <w:tblLook w:firstColumn="1" w:firstRow="1" w:lastColumn="0" w:lastRow="0" w:noHBand="0" w:noVBand="1" w:val="04A0"/>
      </w:tblPr>
      <w:tblGrid>
        <w:gridCol w:w="3213"/>
        <w:gridCol w:w="3213"/>
        <w:gridCol w:w="3213"/>
      </w:tblGrid>
      <w:tr>
        <w:trPr>
          <w:tblHeader/>
        </w:trPr>
        <w:tc>
          <w:tcPr>
            <w:tcW w:type="dxa" w:w="3213"/>
            <w:tcBorders>
              <w:top w:val="nil"/>
              <w:left w:val="nil"/>
              <w:bottom w:val="single" w:sz="8" w:color="14110F"/>
              <w:right w:val="nil"/>
            </w:tcBorders>
          </w:tcPr>
          <w:p>
            <w:pPr>
              <w:keepNext/>
              <w:spacing w:after="60" w:before="60"/>
            </w:pPr>
            <w:r/>
            <w:r>
              <w:rPr>
                <w:rFonts w:ascii="Arial" w:hAnsi="Arial"/>
                <w:b/>
                <w:color w:val="FC0396"/>
                <w:sz w:val="15"/>
              </w:rPr>
              <w:t>MILESTONE</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TARGET DATE</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FIXED OR FLEXIBLE</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Contract start</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Discovery complete</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Content model signed off</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First content in the new system</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Feature complete</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Content freeze begins</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Cutover</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Hypercare ends</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Old platform switched off</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bl>
    <w:p>
      <w:pPr>
        <w:spacing w:after="80"/>
      </w:pPr>
    </w:p>
    <w:p>
      <w:pPr>
        <w:pStyle w:val="Heading2"/>
        <w:keepNext/>
        <w:spacing w:before="400" w:after="120"/>
      </w:pPr>
      <w:r>
        <w:rPr>
          <w:b/>
          <w:color w:val="FC0396"/>
          <w:sz w:val="30"/>
        </w:rPr>
        <w:t xml:space="preserve">11   </w:t>
      </w:r>
      <w:r>
        <w:rPr>
          <w:b/>
          <w:color w:val="14110F"/>
          <w:sz w:val="30"/>
        </w:rPr>
        <w:t>Explicitly out of scope</w:t>
      </w:r>
      <w:r>
        <w:rPr>
          <w:b/>
          <w:color w:val="FC0396"/>
          <w:sz w:val="16"/>
        </w:rPr>
        <w:t xml:space="preserve">   BUYER</w:t>
      </w:r>
    </w:p>
    <w:p>
      <w:pPr>
        <w:ind w:left="317"/>
      </w:pPr>
      <w:r>
        <w:rPr>
          <w:rFonts w:ascii="Arial" w:hAnsi="Arial"/>
          <w:i/>
          <w:color w:val="3F3F46"/>
          <w:sz w:val="20"/>
        </w:rPr>
        <w:t>Name what this project does not cover. Explain exclusions and identify any later phase, so vendors can price the same boundary.</w:t>
      </w:r>
    </w:p>
    <w:p>
      <w:pPr>
        <w:spacing w:after="60"/>
        <w:ind w:left="317"/>
      </w:pPr>
      <w:r>
        <w:rPr>
          <w:color w:val="71717A"/>
          <w:sz w:val="24"/>
        </w:rPr>
        <w:t xml:space="preserve">☐  </w:t>
      </w:r>
      <w:r>
        <w:rPr>
          <w:rFonts w:ascii="Arial" w:hAnsi="Arial"/>
          <w:color w:val="14110F"/>
          <w:sz w:val="22"/>
        </w:rPr>
        <w:t>Visual redesign</w:t>
      </w:r>
    </w:p>
    <w:p>
      <w:pPr>
        <w:spacing w:after="60"/>
        <w:ind w:left="317"/>
      </w:pPr>
      <w:r>
        <w:rPr>
          <w:color w:val="71717A"/>
          <w:sz w:val="24"/>
        </w:rPr>
        <w:t xml:space="preserve">☐  </w:t>
      </w:r>
      <w:r>
        <w:rPr>
          <w:rFonts w:ascii="Arial" w:hAnsi="Arial"/>
          <w:color w:val="14110F"/>
          <w:sz w:val="22"/>
        </w:rPr>
        <w:t>New brand or design system</w:t>
      </w:r>
    </w:p>
    <w:p>
      <w:pPr>
        <w:spacing w:after="60"/>
        <w:ind w:left="317"/>
      </w:pPr>
      <w:r>
        <w:rPr>
          <w:color w:val="71717A"/>
          <w:sz w:val="24"/>
        </w:rPr>
        <w:t xml:space="preserve">☐  </w:t>
      </w:r>
      <w:r>
        <w:rPr>
          <w:rFonts w:ascii="Arial" w:hAnsi="Arial"/>
          <w:color w:val="14110F"/>
          <w:sz w:val="22"/>
        </w:rPr>
        <w:t>Copy rewriting or content strategy</w:t>
      </w:r>
    </w:p>
    <w:p>
      <w:pPr>
        <w:spacing w:after="60"/>
        <w:ind w:left="317"/>
      </w:pPr>
      <w:r>
        <w:rPr>
          <w:color w:val="71717A"/>
          <w:sz w:val="24"/>
        </w:rPr>
        <w:t xml:space="preserve">☐  </w:t>
      </w:r>
      <w:r>
        <w:rPr>
          <w:rFonts w:ascii="Arial" w:hAnsi="Arial"/>
          <w:color w:val="14110F"/>
          <w:sz w:val="22"/>
        </w:rPr>
        <w:t>SEO content work beyond preserving what exists</w:t>
      </w:r>
    </w:p>
    <w:p>
      <w:pPr>
        <w:spacing w:after="60"/>
        <w:ind w:left="317"/>
      </w:pPr>
      <w:r>
        <w:rPr>
          <w:color w:val="71717A"/>
          <w:sz w:val="24"/>
        </w:rPr>
        <w:t xml:space="preserve">☐  </w:t>
      </w:r>
      <w:r>
        <w:rPr>
          <w:rFonts w:ascii="Arial" w:hAnsi="Arial"/>
          <w:color w:val="14110F"/>
          <w:sz w:val="22"/>
        </w:rPr>
        <w:t xml:space="preserve">Migration of </w:t>
      </w:r>
      <w:r>
        <w:rPr>
          <w:rFonts w:ascii="Arial" w:hAnsi="Arial"/>
          <w:i/>
          <w:color w:val="14110F"/>
          <w:sz w:val="22"/>
        </w:rPr>
        <w:t>(name the systems staying put)</w:t>
      </w:r>
    </w:p>
    <w:p>
      <w:pPr>
        <w:spacing w:after="60"/>
        <w:ind w:left="317"/>
      </w:pPr>
      <w:r>
        <w:rPr>
          <w:color w:val="71717A"/>
          <w:sz w:val="24"/>
        </w:rPr>
        <w:t xml:space="preserve">☐  </w:t>
      </w:r>
      <w:r>
        <w:rPr>
          <w:rFonts w:ascii="Arial" w:hAnsi="Arial"/>
          <w:color w:val="14110F"/>
          <w:sz w:val="22"/>
        </w:rPr>
        <w:t>Mobile app work</w:t>
      </w:r>
    </w:p>
    <w:p>
      <w:pPr>
        <w:spacing w:after="60"/>
        <w:ind w:left="317"/>
      </w:pPr>
      <w:r>
        <w:rPr>
          <w:color w:val="71717A"/>
          <w:sz w:val="24"/>
        </w:rPr>
        <w:t xml:space="preserve">☐  </w:t>
      </w:r>
      <w:r>
        <w:rPr>
          <w:rFonts w:ascii="Arial" w:hAnsi="Arial"/>
          <w:color w:val="14110F"/>
          <w:sz w:val="22"/>
        </w:rPr>
        <w:t>E-commerce or checkout</w:t>
      </w:r>
    </w:p>
    <w:p>
      <w:pPr>
        <w:spacing w:after="60"/>
        <w:ind w:left="317"/>
      </w:pPr>
      <w:r>
        <w:rPr>
          <w:color w:val="71717A"/>
          <w:sz w:val="24"/>
        </w:rPr>
        <w:t xml:space="preserve">☐  </w:t>
      </w:r>
      <w:r>
        <w:rPr>
          <w:rFonts w:ascii="Arial" w:hAnsi="Arial"/>
          <w:color w:val="14110F"/>
          <w:sz w:val="22"/>
        </w:rPr>
        <w:t>Personalisation</w:t>
      </w:r>
    </w:p>
    <w:p>
      <w:pPr>
        <w:spacing w:after="60"/>
        <w:ind w:left="317"/>
      </w:pPr>
      <w:r>
        <w:rPr>
          <w:color w:val="71717A"/>
          <w:sz w:val="24"/>
        </w:rPr>
        <w:t xml:space="preserve">☐  </w:t>
      </w:r>
      <w:r>
        <w:rPr>
          <w:rFonts w:ascii="Arial" w:hAnsi="Arial"/>
          <w:color w:val="14110F"/>
          <w:sz w:val="22"/>
        </w:rPr>
        <w:t>Ongoing hosting after hypercare</w:t>
      </w:r>
    </w:p>
    <w:p>
      <w:pPr>
        <w:spacing w:after="60"/>
        <w:ind w:left="317"/>
      </w:pPr>
      <w:r>
        <w:rPr>
          <w:color w:val="71717A"/>
          <w:sz w:val="24"/>
        </w:rPr>
        <w:t xml:space="preserve">☐  </w:t>
      </w:r>
      <w:r>
        <w:rPr>
          <w:rFonts w:ascii="Arial" w:hAnsi="Arial"/>
          <w:color w:val="14110F"/>
          <w:sz w:val="22"/>
        </w:rPr>
        <w:t>Ongoing feature development after launch</w:t>
      </w:r>
    </w:p>
    <w:p>
      <w:pPr>
        <w:ind w:left="317"/>
      </w:pPr>
      <w:r>
        <w:rPr>
          <w:rFonts w:ascii="Arial" w:hAnsi="Arial"/>
          <w:i/>
          <w:color w:val="3F3F46"/>
          <w:sz w:val="20"/>
        </w:rPr>
        <w:t>If a redesign and migration are both needed, ask vendors to price them as separable phases and explain the sequencing dependencies.</w:t>
      </w:r>
    </w:p>
    <w:p>
      <w:pPr>
        <w:pStyle w:val="Heading1"/>
        <w:keepNext/>
        <w:pageBreakBefore/>
        <w:spacing w:before="520" w:after="120"/>
      </w:pPr>
      <w:r>
        <w:rPr>
          <w:b/>
          <w:color w:val="14110F"/>
          <w:sz w:val="44"/>
        </w:rPr>
        <w:t>Part 2 — The response schedule</w:t>
      </w:r>
    </w:p>
    <w:p>
      <w:pPr>
        <w:ind w:left="317"/>
      </w:pPr>
      <w:r>
        <w:rPr>
          <w:rFonts w:ascii="Arial" w:hAnsi="Arial"/>
          <w:i/>
          <w:color w:val="3F3F46"/>
          <w:sz w:val="20"/>
        </w:rPr>
        <w:t>Instruct vendors to answer in this order, using these headings and numbers. Comparability is the point.</w:t>
      </w:r>
    </w:p>
    <w:p>
      <w:pPr>
        <w:pStyle w:val="Heading2"/>
        <w:keepNext/>
        <w:spacing w:before="400" w:after="120"/>
      </w:pPr>
      <w:r>
        <w:rPr>
          <w:b/>
          <w:color w:val="FC0396"/>
          <w:sz w:val="30"/>
        </w:rPr>
        <w:t xml:space="preserve">12   </w:t>
      </w:r>
      <w:r>
        <w:rPr>
          <w:b/>
          <w:color w:val="14110F"/>
          <w:sz w:val="30"/>
        </w:rPr>
        <w:t>Scope and deliverables</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 xml:space="preserve">State the scope in your own words, in under 300 words. </w:t>
      </w:r>
      <w:r>
        <w:rPr>
          <w:rFonts w:ascii="Arial" w:hAnsi="Arial"/>
          <w:i/>
          <w:color w:val="14110F"/>
          <w:sz w:val="22"/>
        </w:rPr>
        <w:t>This is the comprehension check. A vendor who restates the brief accurately has read it.</w:t>
      </w:r>
    </w:p>
    <w:p>
      <w:pPr>
        <w:spacing w:after="60"/>
        <w:ind w:left="547" w:hanging="547"/>
      </w:pPr>
      <w:r>
        <w:rPr>
          <w:b/>
          <w:color w:val="FC0396"/>
          <w:sz w:val="20"/>
        </w:rPr>
        <w:t xml:space="preserve">2.  </w:t>
      </w:r>
      <w:r>
        <w:rPr>
          <w:rFonts w:ascii="Arial" w:hAnsi="Arial"/>
          <w:color w:val="14110F"/>
          <w:sz w:val="22"/>
        </w:rPr>
        <w:t>List every deliverable, with a one-line definition of "done" for each.</w:t>
      </w:r>
    </w:p>
    <w:p>
      <w:pPr>
        <w:spacing w:after="60"/>
        <w:ind w:left="547" w:hanging="547"/>
      </w:pPr>
      <w:r>
        <w:rPr>
          <w:b/>
          <w:color w:val="FC0396"/>
          <w:sz w:val="20"/>
        </w:rPr>
        <w:t xml:space="preserve">3.  </w:t>
      </w:r>
      <w:r>
        <w:rPr>
          <w:rFonts w:ascii="Arial" w:hAnsi="Arial"/>
          <w:color w:val="14110F"/>
          <w:sz w:val="22"/>
        </w:rPr>
        <w:t>Name what you have assumed. Assumptions that turn out false are the usual route to a change request; declaring them now is what makes the price meaningful.</w:t>
      </w:r>
    </w:p>
    <w:p>
      <w:pPr>
        <w:spacing w:after="60"/>
        <w:ind w:left="547" w:hanging="547"/>
      </w:pPr>
      <w:r>
        <w:rPr>
          <w:b/>
          <w:color w:val="FC0396"/>
          <w:sz w:val="20"/>
        </w:rPr>
        <w:t xml:space="preserve">4.  </w:t>
      </w:r>
      <w:r>
        <w:rPr>
          <w:rFonts w:ascii="Arial" w:hAnsi="Arial"/>
          <w:color w:val="14110F"/>
          <w:sz w:val="22"/>
        </w:rPr>
        <w:t>Name what you have excluded.</w:t>
      </w:r>
    </w:p>
    <w:p>
      <w:pPr>
        <w:spacing w:after="60"/>
        <w:ind w:left="547" w:hanging="547"/>
      </w:pPr>
      <w:r>
        <w:rPr>
          <w:b/>
          <w:color w:val="FC0396"/>
          <w:sz w:val="20"/>
        </w:rPr>
        <w:t xml:space="preserve">5.  </w:t>
      </w:r>
      <w:r>
        <w:rPr>
          <w:rFonts w:ascii="Arial" w:hAnsi="Arial"/>
          <w:color w:val="14110F"/>
          <w:sz w:val="22"/>
        </w:rPr>
        <w:t>Confirm the accessibility conformance level you are committing to and how it is verified.</w:t>
      </w:r>
    </w:p>
    <w:p>
      <w:pPr>
        <w:spacing w:after="60"/>
        <w:ind w:left="547" w:hanging="547"/>
      </w:pPr>
      <w:r>
        <w:rPr>
          <w:b/>
          <w:color w:val="FC0396"/>
          <w:sz w:val="20"/>
        </w:rPr>
        <w:t xml:space="preserve">6.  </w:t>
      </w:r>
      <w:r>
        <w:rPr>
          <w:rFonts w:ascii="Arial" w:hAnsi="Arial"/>
          <w:color w:val="14110F"/>
          <w:sz w:val="22"/>
        </w:rPr>
        <w:t>Where the brief includes a redesign, price the replatform and the redesign as separable phases.</w:t>
      </w:r>
    </w:p>
    <w:p>
      <w:pPr>
        <w:pStyle w:val="Heading2"/>
        <w:keepNext/>
        <w:spacing w:before="400" w:after="120"/>
      </w:pPr>
      <w:r>
        <w:rPr>
          <w:b/>
          <w:color w:val="FC0396"/>
          <w:sz w:val="30"/>
        </w:rPr>
        <w:t xml:space="preserve">13   </w:t>
      </w:r>
      <w:r>
        <w:rPr>
          <w:b/>
          <w:color w:val="14110F"/>
          <w:sz w:val="30"/>
        </w:rPr>
        <w:t>Content migration approach</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How will you build and validate the content inventory?</w:t>
      </w:r>
    </w:p>
    <w:p>
      <w:pPr>
        <w:spacing w:after="60"/>
        <w:ind w:left="547" w:hanging="547"/>
      </w:pPr>
      <w:r>
        <w:rPr>
          <w:b/>
          <w:color w:val="FC0396"/>
          <w:sz w:val="20"/>
        </w:rPr>
        <w:t xml:space="preserve">2.  </w:t>
      </w:r>
      <w:r>
        <w:rPr>
          <w:rFonts w:ascii="Arial" w:hAnsi="Arial"/>
          <w:color w:val="14110F"/>
          <w:sz w:val="22"/>
        </w:rPr>
        <w:t>How will content be transformed? Describe the pipeline, including what runs automatically and what needs a human.</w:t>
      </w:r>
    </w:p>
    <w:p>
      <w:pPr>
        <w:spacing w:after="60"/>
        <w:ind w:left="547" w:hanging="547"/>
      </w:pPr>
      <w:r>
        <w:rPr>
          <w:b/>
          <w:color w:val="FC0396"/>
          <w:sz w:val="20"/>
        </w:rPr>
        <w:t xml:space="preserve">3.  </w:t>
      </w:r>
      <w:r>
        <w:rPr>
          <w:rFonts w:ascii="Arial" w:hAnsi="Arial"/>
          <w:color w:val="14110F"/>
          <w:sz w:val="22"/>
        </w:rPr>
        <w:t>What proportion of items do you expect to migrate automatically, and what proportion needs manual handling? State the basis.</w:t>
      </w:r>
    </w:p>
    <w:p>
      <w:pPr>
        <w:spacing w:after="60"/>
        <w:ind w:left="547" w:hanging="547"/>
      </w:pPr>
      <w:r>
        <w:rPr>
          <w:b/>
          <w:color w:val="FC0396"/>
          <w:sz w:val="20"/>
        </w:rPr>
        <w:t xml:space="preserve">4.  </w:t>
      </w:r>
      <w:r>
        <w:rPr>
          <w:rFonts w:ascii="Arial" w:hAnsi="Arial"/>
          <w:color w:val="14110F"/>
          <w:sz w:val="22"/>
        </w:rPr>
        <w:t>How are rich text, embedded components, and inline media handled?</w:t>
      </w:r>
    </w:p>
    <w:p>
      <w:pPr>
        <w:spacing w:after="60"/>
        <w:ind w:left="547" w:hanging="547"/>
      </w:pPr>
      <w:r>
        <w:rPr>
          <w:b/>
          <w:color w:val="FC0396"/>
          <w:sz w:val="20"/>
        </w:rPr>
        <w:t xml:space="preserve">5.  </w:t>
      </w:r>
      <w:r>
        <w:rPr>
          <w:rFonts w:ascii="Arial" w:hAnsi="Arial"/>
          <w:color w:val="14110F"/>
          <w:sz w:val="22"/>
        </w:rPr>
        <w:t>How are references between entries preserved?</w:t>
      </w:r>
    </w:p>
    <w:p>
      <w:pPr>
        <w:spacing w:after="60"/>
        <w:ind w:left="547" w:hanging="547"/>
      </w:pPr>
      <w:r>
        <w:rPr>
          <w:b/>
          <w:color w:val="FC0396"/>
          <w:sz w:val="20"/>
        </w:rPr>
        <w:t xml:space="preserve">6.  </w:t>
      </w:r>
      <w:r>
        <w:rPr>
          <w:rFonts w:ascii="Arial" w:hAnsi="Arial"/>
          <w:color w:val="14110F"/>
          <w:sz w:val="22"/>
        </w:rPr>
        <w:t>How is media migrated, and what happens to filenames and alt text?</w:t>
      </w:r>
    </w:p>
    <w:p>
      <w:pPr>
        <w:spacing w:after="60"/>
        <w:ind w:left="547" w:hanging="547"/>
      </w:pPr>
      <w:r>
        <w:rPr>
          <w:b/>
          <w:color w:val="FC0396"/>
          <w:sz w:val="20"/>
        </w:rPr>
        <w:t xml:space="preserve">7.  </w:t>
      </w:r>
      <w:r>
        <w:rPr>
          <w:rFonts w:ascii="Arial" w:hAnsi="Arial"/>
          <w:color w:val="14110F"/>
          <w:sz w:val="22"/>
        </w:rPr>
        <w:t>Describe the verification step that compares migrated content against the original before cutover. Who runs it, against what sample size, and what is the pass threshold?</w:t>
      </w:r>
    </w:p>
    <w:p>
      <w:pPr>
        <w:spacing w:after="60"/>
        <w:ind w:left="547" w:hanging="547"/>
      </w:pPr>
      <w:r>
        <w:rPr>
          <w:b/>
          <w:color w:val="FC0396"/>
          <w:sz w:val="20"/>
        </w:rPr>
        <w:t xml:space="preserve">8.  </w:t>
      </w:r>
      <w:r>
        <w:rPr>
          <w:rFonts w:ascii="Arial" w:hAnsi="Arial"/>
          <w:color w:val="14110F"/>
          <w:sz w:val="22"/>
        </w:rPr>
        <w:t>How are content changes made during the build reconciled at cutover? Describe the delta import.</w:t>
      </w:r>
    </w:p>
    <w:p>
      <w:pPr>
        <w:spacing w:after="60"/>
        <w:ind w:left="547" w:hanging="547"/>
      </w:pPr>
      <w:r>
        <w:rPr>
          <w:b/>
          <w:color w:val="FC0396"/>
          <w:sz w:val="20"/>
        </w:rPr>
        <w:t xml:space="preserve">9.  </w:t>
      </w:r>
      <w:r>
        <w:rPr>
          <w:rFonts w:ascii="Arial" w:hAnsi="Arial"/>
          <w:color w:val="14110F"/>
          <w:sz w:val="22"/>
        </w:rPr>
        <w:t>What is your rollback position if verification fails?</w:t>
      </w:r>
    </w:p>
    <w:p>
      <w:pPr>
        <w:spacing w:after="60"/>
        <w:ind w:left="547" w:hanging="547"/>
      </w:pPr>
      <w:r>
        <w:rPr>
          <w:b/>
          <w:color w:val="FC0396"/>
          <w:sz w:val="20"/>
        </w:rPr>
        <w:t xml:space="preserve">10. </w:t>
      </w:r>
      <w:r>
        <w:rPr>
          <w:rFonts w:ascii="Arial" w:hAnsi="Arial"/>
          <w:color w:val="14110F"/>
          <w:sz w:val="22"/>
        </w:rPr>
        <w:t>Price a content-inventory-and-mapping phase separately, so the number can be compared across bidders.</w:t>
      </w:r>
    </w:p>
    <w:p>
      <w:pPr>
        <w:ind w:left="317"/>
      </w:pPr>
      <w:r>
        <w:rPr>
          <w:rFonts w:ascii="Arial" w:hAnsi="Arial"/>
          <w:i/>
          <w:color w:val="3F3F46"/>
          <w:sz w:val="20"/>
        </w:rPr>
        <w:t>Ask for a worked verification example if the proposed method, sample size or acceptance threshold is unclear.</w:t>
      </w:r>
    </w:p>
    <w:p>
      <w:pPr>
        <w:pStyle w:val="Heading2"/>
        <w:keepNext/>
        <w:spacing w:before="400" w:after="120"/>
      </w:pPr>
      <w:r>
        <w:rPr>
          <w:b/>
          <w:color w:val="FC0396"/>
          <w:sz w:val="30"/>
        </w:rPr>
        <w:t xml:space="preserve">14   </w:t>
      </w:r>
      <w:r>
        <w:rPr>
          <w:b/>
          <w:color w:val="14110F"/>
          <w:sz w:val="30"/>
        </w:rPr>
        <w:t>Integration approach</w:t>
      </w:r>
      <w:r>
        <w:rPr>
          <w:b/>
          <w:color w:val="FC0396"/>
          <w:sz w:val="16"/>
        </w:rPr>
        <w:t xml:space="preserve">   VENDOR</w:t>
      </w:r>
    </w:p>
    <w:p>
      <w:r>
        <w:rPr>
          <w:rFonts w:ascii="Arial" w:hAnsi="Arial"/>
          <w:color w:val="14110F"/>
          <w:sz w:val="22"/>
        </w:rPr>
        <w:t>For each integration in the register:</w:t>
      </w:r>
    </w:p>
    <w:p>
      <w:pPr>
        <w:spacing w:after="60"/>
        <w:ind w:left="547" w:hanging="547"/>
      </w:pPr>
      <w:r>
        <w:rPr>
          <w:b/>
          <w:color w:val="FC0396"/>
          <w:sz w:val="20"/>
        </w:rPr>
        <w:t xml:space="preserve">1.  </w:t>
      </w:r>
      <w:r>
        <w:rPr>
          <w:rFonts w:ascii="Arial" w:hAnsi="Arial"/>
          <w:color w:val="14110F"/>
          <w:sz w:val="22"/>
        </w:rPr>
        <w:t>Approach, and whether you have built this integration before.</w:t>
      </w:r>
    </w:p>
    <w:p>
      <w:pPr>
        <w:spacing w:after="60"/>
        <w:ind w:left="547" w:hanging="547"/>
      </w:pPr>
      <w:r>
        <w:rPr>
          <w:b/>
          <w:color w:val="FC0396"/>
          <w:sz w:val="20"/>
        </w:rPr>
        <w:t xml:space="preserve">2.  </w:t>
      </w:r>
      <w:r>
        <w:rPr>
          <w:rFonts w:ascii="Arial" w:hAnsi="Arial"/>
          <w:color w:val="14110F"/>
          <w:sz w:val="22"/>
        </w:rPr>
        <w:t>What you need from the system owner, and by when.</w:t>
      </w:r>
    </w:p>
    <w:p>
      <w:pPr>
        <w:spacing w:after="60"/>
        <w:ind w:left="547" w:hanging="547"/>
      </w:pPr>
      <w:r>
        <w:rPr>
          <w:b/>
          <w:color w:val="FC0396"/>
          <w:sz w:val="20"/>
        </w:rPr>
        <w:t xml:space="preserve">3.  </w:t>
      </w:r>
      <w:r>
        <w:rPr>
          <w:rFonts w:ascii="Arial" w:hAnsi="Arial"/>
          <w:color w:val="14110F"/>
          <w:sz w:val="22"/>
        </w:rPr>
        <w:t>Whether it lands day one or in a later phase.</w:t>
      </w:r>
    </w:p>
    <w:p>
      <w:pPr>
        <w:spacing w:after="60"/>
        <w:ind w:left="547" w:hanging="547"/>
      </w:pPr>
      <w:r>
        <w:rPr>
          <w:b/>
          <w:color w:val="FC0396"/>
          <w:sz w:val="20"/>
        </w:rPr>
        <w:t xml:space="preserve">4.  </w:t>
      </w:r>
      <w:r>
        <w:rPr>
          <w:rFonts w:ascii="Arial" w:hAnsi="Arial"/>
          <w:color w:val="14110F"/>
          <w:sz w:val="22"/>
        </w:rPr>
        <w:t>What happens if the third-party API changes during the project.</w:t>
      </w:r>
    </w:p>
    <w:p>
      <w:pPr>
        <w:spacing w:after="60"/>
        <w:ind w:left="547" w:hanging="547"/>
      </w:pPr>
      <w:r>
        <w:rPr>
          <w:b/>
          <w:color w:val="FC0396"/>
          <w:sz w:val="20"/>
        </w:rPr>
        <w:t xml:space="preserve">5.  </w:t>
      </w:r>
      <w:r>
        <w:rPr>
          <w:rFonts w:ascii="Arial" w:hAnsi="Arial"/>
          <w:color w:val="14110F"/>
          <w:sz w:val="22"/>
        </w:rPr>
        <w:t>Who holds the credentials, and how they are rotated.</w:t>
      </w:r>
    </w:p>
    <w:p>
      <w:pPr>
        <w:spacing w:after="60"/>
        <w:ind w:left="547" w:hanging="547"/>
      </w:pPr>
      <w:r>
        <w:rPr>
          <w:b/>
          <w:color w:val="FC0396"/>
          <w:sz w:val="20"/>
        </w:rPr>
        <w:t xml:space="preserve">6.  </w:t>
      </w:r>
      <w:r>
        <w:rPr>
          <w:rFonts w:ascii="Arial" w:hAnsi="Arial"/>
          <w:color w:val="14110F"/>
          <w:sz w:val="22"/>
        </w:rPr>
        <w:t>Price per integration, so the register can be re-scoped without reopening the whole quote.</w:t>
      </w:r>
    </w:p>
    <w:p>
      <w:pPr>
        <w:pStyle w:val="Heading2"/>
        <w:keepNext/>
        <w:spacing w:before="400" w:after="120"/>
      </w:pPr>
      <w:r>
        <w:rPr>
          <w:b/>
          <w:color w:val="FC0396"/>
          <w:sz w:val="30"/>
        </w:rPr>
        <w:t xml:space="preserve">15   </w:t>
      </w:r>
      <w:r>
        <w:rPr>
          <w:b/>
          <w:color w:val="14110F"/>
          <w:sz w:val="30"/>
        </w:rPr>
        <w:t>Redirect and search continuity plan</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How is the URL inventory assembled, and from which sources?</w:t>
      </w:r>
    </w:p>
    <w:p>
      <w:pPr>
        <w:spacing w:after="60"/>
        <w:ind w:left="547" w:hanging="547"/>
      </w:pPr>
      <w:r>
        <w:rPr>
          <w:b/>
          <w:color w:val="FC0396"/>
          <w:sz w:val="20"/>
        </w:rPr>
        <w:t xml:space="preserve">2.  </w:t>
      </w:r>
      <w:r>
        <w:rPr>
          <w:rFonts w:ascii="Arial" w:hAnsi="Arial"/>
          <w:color w:val="14110F"/>
          <w:sz w:val="22"/>
        </w:rPr>
        <w:t>How is the redirect map produced, reviewed, and signed off?</w:t>
      </w:r>
    </w:p>
    <w:p>
      <w:pPr>
        <w:spacing w:after="60"/>
        <w:ind w:left="547" w:hanging="547"/>
      </w:pPr>
      <w:r>
        <w:rPr>
          <w:b/>
          <w:color w:val="FC0396"/>
          <w:sz w:val="20"/>
        </w:rPr>
        <w:t xml:space="preserve">3.  </w:t>
      </w:r>
      <w:r>
        <w:rPr>
          <w:rFonts w:ascii="Arial" w:hAnsi="Arial"/>
          <w:color w:val="14110F"/>
          <w:sz w:val="22"/>
        </w:rPr>
        <w:t xml:space="preserve">Where do redirects execute? </w:t>
      </w:r>
      <w:r>
        <w:rPr>
          <w:rFonts w:ascii="Arial" w:hAnsi="Arial"/>
          <w:i/>
          <w:color w:val="14110F"/>
          <w:sz w:val="22"/>
        </w:rPr>
        <w:t>(CDN, edge, application, web server — the answer changes latency and who can change a rule after launch.)</w:t>
      </w:r>
    </w:p>
    <w:p>
      <w:pPr>
        <w:spacing w:after="60"/>
        <w:ind w:left="547" w:hanging="547"/>
      </w:pPr>
      <w:r>
        <w:rPr>
          <w:b/>
          <w:color w:val="FC0396"/>
          <w:sz w:val="20"/>
        </w:rPr>
        <w:t xml:space="preserve">4.  </w:t>
      </w:r>
      <w:r>
        <w:rPr>
          <w:rFonts w:ascii="Arial" w:hAnsi="Arial"/>
          <w:color w:val="14110F"/>
          <w:sz w:val="22"/>
        </w:rPr>
        <w:t>How are redirect chains collapsed?</w:t>
      </w:r>
    </w:p>
    <w:p>
      <w:pPr>
        <w:spacing w:after="60"/>
        <w:ind w:left="547" w:hanging="547"/>
      </w:pPr>
      <w:r>
        <w:rPr>
          <w:b/>
          <w:color w:val="FC0396"/>
          <w:sz w:val="20"/>
        </w:rPr>
        <w:t xml:space="preserve">5.  </w:t>
      </w:r>
      <w:r>
        <w:rPr>
          <w:rFonts w:ascii="Arial" w:hAnsi="Arial"/>
          <w:color w:val="14110F"/>
          <w:sz w:val="22"/>
        </w:rPr>
        <w:t>How is the map tested before cutover?</w:t>
      </w:r>
    </w:p>
    <w:p>
      <w:pPr>
        <w:spacing w:after="60"/>
        <w:ind w:left="547" w:hanging="547"/>
      </w:pPr>
      <w:r>
        <w:rPr>
          <w:b/>
          <w:color w:val="FC0396"/>
          <w:sz w:val="20"/>
        </w:rPr>
        <w:t xml:space="preserve">6.  </w:t>
      </w:r>
      <w:r>
        <w:rPr>
          <w:rFonts w:ascii="Arial" w:hAnsi="Arial"/>
          <w:color w:val="14110F"/>
          <w:sz w:val="22"/>
        </w:rPr>
        <w:t>What is monitored after cutover, by whom, and for how long?</w:t>
      </w:r>
    </w:p>
    <w:p>
      <w:pPr>
        <w:spacing w:after="60"/>
        <w:ind w:left="547" w:hanging="547"/>
      </w:pPr>
      <w:r>
        <w:rPr>
          <w:b/>
          <w:color w:val="FC0396"/>
          <w:sz w:val="20"/>
        </w:rPr>
        <w:t xml:space="preserve">7.  </w:t>
      </w:r>
      <w:r>
        <w:rPr>
          <w:rFonts w:ascii="Arial" w:hAnsi="Arial"/>
          <w:color w:val="14110F"/>
          <w:sz w:val="22"/>
        </w:rPr>
        <w:t xml:space="preserve">What is your commitment on redirect retention? </w:t>
      </w:r>
      <w:r>
        <w:rPr>
          <w:rFonts w:ascii="Arial" w:hAnsi="Arial"/>
          <w:i/>
          <w:color w:val="14110F"/>
          <w:sz w:val="22"/>
        </w:rPr>
        <w:t>Google's guidance is at least one year.</w:t>
      </w:r>
    </w:p>
    <w:p>
      <w:pPr>
        <w:spacing w:after="60"/>
        <w:ind w:left="547" w:hanging="547"/>
      </w:pPr>
      <w:r>
        <w:rPr>
          <w:b/>
          <w:color w:val="FC0396"/>
          <w:sz w:val="20"/>
        </w:rPr>
        <w:t xml:space="preserve">8.  </w:t>
      </w:r>
      <w:r>
        <w:rPr>
          <w:rFonts w:ascii="Arial" w:hAnsi="Arial"/>
          <w:color w:val="14110F"/>
          <w:sz w:val="22"/>
        </w:rPr>
        <w:t>How are titles, meta descriptions, canonical tags, structured data, and hreflang carried across?</w:t>
      </w:r>
    </w:p>
    <w:p>
      <w:pPr>
        <w:spacing w:after="60"/>
        <w:ind w:left="547" w:hanging="547"/>
      </w:pPr>
      <w:r>
        <w:rPr>
          <w:b/>
          <w:color w:val="FC0396"/>
          <w:sz w:val="20"/>
        </w:rPr>
        <w:t xml:space="preserve">9.  </w:t>
      </w:r>
      <w:r>
        <w:rPr>
          <w:rFonts w:ascii="Arial" w:hAnsi="Arial"/>
          <w:color w:val="14110F"/>
          <w:sz w:val="22"/>
        </w:rPr>
        <w:t>What is the plan for a ranking drop in week two?</w:t>
      </w:r>
    </w:p>
    <w:p>
      <w:pPr>
        <w:spacing w:after="60"/>
        <w:ind w:left="547" w:hanging="547"/>
      </w:pPr>
      <w:r>
        <w:rPr>
          <w:b/>
          <w:color w:val="FC0396"/>
          <w:sz w:val="20"/>
        </w:rPr>
        <w:t xml:space="preserve">10. </w:t>
      </w:r>
      <w:r>
        <w:rPr>
          <w:rFonts w:ascii="Arial" w:hAnsi="Arial"/>
          <w:color w:val="14110F"/>
          <w:sz w:val="22"/>
        </w:rPr>
        <w:t>Is a pre-launch crawl comparison included, and what tooling?</w:t>
      </w:r>
    </w:p>
    <w:p>
      <w:pPr>
        <w:pStyle w:val="Heading2"/>
        <w:keepNext/>
        <w:spacing w:before="400" w:after="120"/>
      </w:pPr>
      <w:r>
        <w:rPr>
          <w:b/>
          <w:color w:val="FC0396"/>
          <w:sz w:val="30"/>
        </w:rPr>
        <w:t xml:space="preserve">16   </w:t>
      </w:r>
      <w:r>
        <w:rPr>
          <w:b/>
          <w:color w:val="14110F"/>
          <w:sz w:val="30"/>
        </w:rPr>
        <w:t>Editorial workflow, roles, and permissions</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How are the roles in Section 5 expressed in the target platform?</w:t>
      </w:r>
    </w:p>
    <w:p>
      <w:pPr>
        <w:spacing w:after="60"/>
        <w:ind w:left="547" w:hanging="547"/>
      </w:pPr>
      <w:r>
        <w:rPr>
          <w:b/>
          <w:color w:val="FC0396"/>
          <w:sz w:val="20"/>
        </w:rPr>
        <w:t xml:space="preserve">2.  </w:t>
      </w:r>
      <w:r>
        <w:rPr>
          <w:rFonts w:ascii="Arial" w:hAnsi="Arial"/>
          <w:color w:val="14110F"/>
          <w:sz w:val="22"/>
        </w:rPr>
        <w:t>Can permissions be scoped below the level of a content type? Show how.</w:t>
      </w:r>
    </w:p>
    <w:p>
      <w:pPr>
        <w:spacing w:after="60"/>
        <w:ind w:left="547" w:hanging="547"/>
      </w:pPr>
      <w:r>
        <w:rPr>
          <w:b/>
          <w:color w:val="FC0396"/>
          <w:sz w:val="20"/>
        </w:rPr>
        <w:t xml:space="preserve">3.  </w:t>
      </w:r>
      <w:r>
        <w:rPr>
          <w:rFonts w:ascii="Arial" w:hAnsi="Arial"/>
          <w:color w:val="14110F"/>
          <w:sz w:val="22"/>
        </w:rPr>
        <w:t>How is the approval workflow configured, and can it differ per brand or region?</w:t>
      </w:r>
    </w:p>
    <w:p>
      <w:pPr>
        <w:spacing w:after="60"/>
        <w:ind w:left="547" w:hanging="547"/>
      </w:pPr>
      <w:r>
        <w:rPr>
          <w:b/>
          <w:color w:val="FC0396"/>
          <w:sz w:val="20"/>
        </w:rPr>
        <w:t xml:space="preserve">4.  </w:t>
      </w:r>
      <w:r>
        <w:rPr>
          <w:rFonts w:ascii="Arial" w:hAnsi="Arial"/>
          <w:color w:val="14110F"/>
          <w:sz w:val="22"/>
        </w:rPr>
        <w:t>How is the audit trail produced, and is it immutable?</w:t>
      </w:r>
    </w:p>
    <w:p>
      <w:pPr>
        <w:spacing w:after="60"/>
        <w:ind w:left="547" w:hanging="547"/>
      </w:pPr>
      <w:r>
        <w:rPr>
          <w:b/>
          <w:color w:val="FC0396"/>
          <w:sz w:val="20"/>
        </w:rPr>
        <w:t xml:space="preserve">5.  </w:t>
      </w:r>
      <w:r>
        <w:rPr>
          <w:rFonts w:ascii="Arial" w:hAnsi="Arial"/>
          <w:color w:val="14110F"/>
          <w:sz w:val="22"/>
        </w:rPr>
        <w:t>Is versioning and rollback available to editors without a developer?</w:t>
      </w:r>
    </w:p>
    <w:p>
      <w:pPr>
        <w:spacing w:after="60"/>
        <w:ind w:left="547" w:hanging="547"/>
      </w:pPr>
      <w:r>
        <w:rPr>
          <w:b/>
          <w:color w:val="FC0396"/>
          <w:sz w:val="20"/>
        </w:rPr>
        <w:t xml:space="preserve">6.  </w:t>
      </w:r>
      <w:r>
        <w:rPr>
          <w:rFonts w:ascii="Arial" w:hAnsi="Arial"/>
          <w:color w:val="14110F"/>
          <w:sz w:val="22"/>
        </w:rPr>
        <w:t>How is scheduled publishing handled?</w:t>
      </w:r>
    </w:p>
    <w:p>
      <w:pPr>
        <w:spacing w:after="60"/>
        <w:ind w:left="547" w:hanging="547"/>
      </w:pPr>
      <w:r>
        <w:rPr>
          <w:b/>
          <w:color w:val="FC0396"/>
          <w:sz w:val="20"/>
        </w:rPr>
        <w:t xml:space="preserve">7.  </w:t>
      </w:r>
      <w:r>
        <w:rPr>
          <w:rFonts w:ascii="Arial" w:hAnsi="Arial"/>
          <w:color w:val="14110F"/>
          <w:sz w:val="22"/>
        </w:rPr>
        <w:t>What can an editor change without a deployment? What needs one?</w:t>
      </w:r>
    </w:p>
    <w:p>
      <w:pPr>
        <w:spacing w:after="60"/>
        <w:ind w:left="547" w:hanging="547"/>
      </w:pPr>
      <w:r>
        <w:rPr>
          <w:b/>
          <w:color w:val="FC0396"/>
          <w:sz w:val="20"/>
        </w:rPr>
        <w:t xml:space="preserve">8.  </w:t>
      </w:r>
      <w:r>
        <w:rPr>
          <w:rFonts w:ascii="Arial" w:hAnsi="Arial"/>
          <w:color w:val="14110F"/>
          <w:sz w:val="22"/>
        </w:rPr>
        <w:t>How is a preview of unpublished content produced?</w:t>
      </w:r>
    </w:p>
    <w:p>
      <w:pPr>
        <w:ind w:left="317"/>
      </w:pPr>
      <w:r>
        <w:rPr>
          <w:rFonts w:ascii="Arial" w:hAnsi="Arial"/>
          <w:i/>
          <w:color w:val="3F3F46"/>
          <w:sz w:val="20"/>
        </w:rPr>
        <w:t>Question 7 is the one that decides whether the platform solves the problem that started the project. A system where a new page layout requires a release has moved the bottleneck rather than removed it.</w:t>
      </w:r>
    </w:p>
    <w:p>
      <w:pPr>
        <w:pStyle w:val="Heading2"/>
        <w:keepNext/>
        <w:spacing w:before="400" w:after="120"/>
      </w:pPr>
      <w:r>
        <w:rPr>
          <w:b/>
          <w:color w:val="FC0396"/>
          <w:sz w:val="30"/>
        </w:rPr>
        <w:t xml:space="preserve">17   </w:t>
      </w:r>
      <w:r>
        <w:rPr>
          <w:b/>
          <w:color w:val="14110F"/>
          <w:sz w:val="30"/>
        </w:rPr>
        <w:t>Training and enablement</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Who is trained, in what groups, and for how long.</w:t>
      </w:r>
    </w:p>
    <w:p>
      <w:pPr>
        <w:spacing w:after="60"/>
        <w:ind w:left="547" w:hanging="547"/>
      </w:pPr>
      <w:r>
        <w:rPr>
          <w:b/>
          <w:color w:val="FC0396"/>
          <w:sz w:val="20"/>
        </w:rPr>
        <w:t xml:space="preserve">2.  </w:t>
      </w:r>
      <w:r>
        <w:rPr>
          <w:rFonts w:ascii="Arial" w:hAnsi="Arial"/>
          <w:color w:val="14110F"/>
          <w:sz w:val="22"/>
        </w:rPr>
        <w:t>Format: live, recorded, written, or a mix.</w:t>
      </w:r>
    </w:p>
    <w:p>
      <w:pPr>
        <w:spacing w:after="60"/>
        <w:ind w:left="547" w:hanging="547"/>
      </w:pPr>
      <w:r>
        <w:rPr>
          <w:b/>
          <w:color w:val="FC0396"/>
          <w:sz w:val="20"/>
        </w:rPr>
        <w:t xml:space="preserve">3.  </w:t>
      </w:r>
      <w:r>
        <w:rPr>
          <w:rFonts w:ascii="Arial" w:hAnsi="Arial"/>
          <w:color w:val="14110F"/>
          <w:sz w:val="22"/>
        </w:rPr>
        <w:t>What documentation is delivered, and who owns it afterwards.</w:t>
      </w:r>
    </w:p>
    <w:p>
      <w:pPr>
        <w:spacing w:after="60"/>
        <w:ind w:left="547" w:hanging="547"/>
      </w:pPr>
      <w:r>
        <w:rPr>
          <w:b/>
          <w:color w:val="FC0396"/>
          <w:sz w:val="20"/>
        </w:rPr>
        <w:t xml:space="preserve">4.  </w:t>
      </w:r>
      <w:r>
        <w:rPr>
          <w:rFonts w:ascii="Arial" w:hAnsi="Arial"/>
          <w:color w:val="14110F"/>
          <w:sz w:val="22"/>
        </w:rPr>
        <w:t>Is there a train-the-trainer path for a large editor base?</w:t>
      </w:r>
    </w:p>
    <w:p>
      <w:pPr>
        <w:spacing w:after="60"/>
        <w:ind w:left="547" w:hanging="547"/>
      </w:pPr>
      <w:r>
        <w:rPr>
          <w:b/>
          <w:color w:val="FC0396"/>
          <w:sz w:val="20"/>
        </w:rPr>
        <w:t xml:space="preserve">5.  </w:t>
      </w:r>
      <w:r>
        <w:rPr>
          <w:rFonts w:ascii="Arial" w:hAnsi="Arial"/>
          <w:color w:val="14110F"/>
          <w:sz w:val="22"/>
        </w:rPr>
        <w:t xml:space="preserve">How is training scheduled against cutover? </w:t>
      </w:r>
      <w:r>
        <w:rPr>
          <w:rFonts w:ascii="Arial" w:hAnsi="Arial"/>
          <w:i/>
          <w:color w:val="14110F"/>
          <w:sz w:val="22"/>
        </w:rPr>
        <w:t>Include time to practise before go-live and a refresher where the schedule requires one.</w:t>
      </w:r>
    </w:p>
    <w:p>
      <w:pPr>
        <w:spacing w:after="60"/>
        <w:ind w:left="547" w:hanging="547"/>
      </w:pPr>
      <w:r>
        <w:rPr>
          <w:b/>
          <w:color w:val="FC0396"/>
          <w:sz w:val="20"/>
        </w:rPr>
        <w:t xml:space="preserve">6.  </w:t>
      </w:r>
      <w:r>
        <w:rPr>
          <w:rFonts w:ascii="Arial" w:hAnsi="Arial"/>
          <w:color w:val="14110F"/>
          <w:sz w:val="22"/>
        </w:rPr>
        <w:t>What is the plan for editors who join after the project ends?</w:t>
      </w:r>
    </w:p>
    <w:p>
      <w:pPr>
        <w:spacing w:after="60"/>
        <w:ind w:left="547" w:hanging="547"/>
      </w:pPr>
      <w:r>
        <w:rPr>
          <w:b/>
          <w:color w:val="FC0396"/>
          <w:sz w:val="20"/>
        </w:rPr>
        <w:t xml:space="preserve">7.  </w:t>
      </w:r>
      <w:r>
        <w:rPr>
          <w:rFonts w:ascii="Arial" w:hAnsi="Arial"/>
          <w:color w:val="14110F"/>
          <w:sz w:val="22"/>
        </w:rPr>
        <w:t>Is a sandbox environment provided for practice?</w:t>
      </w:r>
    </w:p>
    <w:p>
      <w:pPr>
        <w:spacing w:after="60"/>
        <w:ind w:left="547" w:hanging="547"/>
      </w:pPr>
      <w:r>
        <w:rPr>
          <w:b/>
          <w:color w:val="FC0396"/>
          <w:sz w:val="20"/>
        </w:rPr>
        <w:t xml:space="preserve">8.  </w:t>
      </w:r>
      <w:r>
        <w:rPr>
          <w:rFonts w:ascii="Arial" w:hAnsi="Arial"/>
          <w:color w:val="14110F"/>
          <w:sz w:val="22"/>
        </w:rPr>
        <w:t>Price training separately, per group.</w:t>
      </w:r>
    </w:p>
    <w:p>
      <w:pPr>
        <w:pStyle w:val="Heading2"/>
        <w:keepNext/>
        <w:spacing w:before="400" w:after="120"/>
      </w:pPr>
      <w:r>
        <w:rPr>
          <w:b/>
          <w:color w:val="FC0396"/>
          <w:sz w:val="30"/>
        </w:rPr>
        <w:t xml:space="preserve">18   </w:t>
      </w:r>
      <w:r>
        <w:rPr>
          <w:b/>
          <w:color w:val="14110F"/>
          <w:sz w:val="30"/>
        </w:rPr>
        <w:t>QA and acceptance</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What is tested, by whom, and in which environments.</w:t>
      </w:r>
    </w:p>
    <w:p>
      <w:pPr>
        <w:spacing w:after="60"/>
        <w:ind w:left="547" w:hanging="547"/>
      </w:pPr>
      <w:r>
        <w:rPr>
          <w:b/>
          <w:color w:val="FC0396"/>
          <w:sz w:val="20"/>
        </w:rPr>
        <w:t xml:space="preserve">2.  </w:t>
      </w:r>
      <w:r>
        <w:rPr>
          <w:rFonts w:ascii="Arial" w:hAnsi="Arial"/>
          <w:color w:val="14110F"/>
          <w:sz w:val="22"/>
        </w:rPr>
        <w:t>Automated test coverage: what is covered and what is not.</w:t>
      </w:r>
    </w:p>
    <w:p>
      <w:pPr>
        <w:spacing w:after="60"/>
        <w:ind w:left="547" w:hanging="547"/>
      </w:pPr>
      <w:r>
        <w:rPr>
          <w:b/>
          <w:color w:val="FC0396"/>
          <w:sz w:val="20"/>
        </w:rPr>
        <w:t xml:space="preserve">3.  </w:t>
      </w:r>
      <w:r>
        <w:rPr>
          <w:rFonts w:ascii="Arial" w:hAnsi="Arial"/>
          <w:color w:val="14110F"/>
          <w:sz w:val="22"/>
        </w:rPr>
        <w:t>Accessibility testing method, including whether assistive technology is used and whether disabled users are involved.</w:t>
      </w:r>
    </w:p>
    <w:p>
      <w:pPr>
        <w:spacing w:after="60"/>
        <w:ind w:left="547" w:hanging="547"/>
      </w:pPr>
      <w:r>
        <w:rPr>
          <w:b/>
          <w:color w:val="FC0396"/>
          <w:sz w:val="20"/>
        </w:rPr>
        <w:t xml:space="preserve">4.  </w:t>
      </w:r>
      <w:r>
        <w:rPr>
          <w:rFonts w:ascii="Arial" w:hAnsi="Arial"/>
          <w:color w:val="14110F"/>
          <w:sz w:val="22"/>
        </w:rPr>
        <w:t>Cross-browser and device matrix.</w:t>
      </w:r>
    </w:p>
    <w:p>
      <w:pPr>
        <w:spacing w:after="60"/>
        <w:ind w:left="547" w:hanging="547"/>
      </w:pPr>
      <w:r>
        <w:rPr>
          <w:b/>
          <w:color w:val="FC0396"/>
          <w:sz w:val="20"/>
        </w:rPr>
        <w:t xml:space="preserve">5.  </w:t>
      </w:r>
      <w:r>
        <w:rPr>
          <w:rFonts w:ascii="Arial" w:hAnsi="Arial"/>
          <w:color w:val="14110F"/>
          <w:sz w:val="22"/>
        </w:rPr>
        <w:t>Performance testing method and the load profile used.</w:t>
      </w:r>
    </w:p>
    <w:p>
      <w:pPr>
        <w:spacing w:after="60"/>
        <w:ind w:left="547" w:hanging="547"/>
      </w:pPr>
      <w:r>
        <w:rPr>
          <w:b/>
          <w:color w:val="FC0396"/>
          <w:sz w:val="20"/>
        </w:rPr>
        <w:t xml:space="preserve">6.  </w:t>
      </w:r>
      <w:r>
        <w:rPr>
          <w:rFonts w:ascii="Arial" w:hAnsi="Arial"/>
          <w:color w:val="14110F"/>
          <w:sz w:val="22"/>
        </w:rPr>
        <w:t>Security testing included, and whether a third-party penetration test is in scope.</w:t>
      </w:r>
    </w:p>
    <w:p>
      <w:pPr>
        <w:spacing w:after="60"/>
        <w:ind w:left="547" w:hanging="547"/>
      </w:pPr>
      <w:r>
        <w:rPr>
          <w:b/>
          <w:color w:val="FC0396"/>
          <w:sz w:val="20"/>
        </w:rPr>
        <w:t xml:space="preserve">7.  </w:t>
      </w:r>
      <w:r>
        <w:rPr>
          <w:rFonts w:ascii="Arial" w:hAnsi="Arial"/>
          <w:color w:val="14110F"/>
          <w:sz w:val="22"/>
        </w:rPr>
        <w:t>How defects are classified and what severity blocks a release.</w:t>
      </w:r>
    </w:p>
    <w:p>
      <w:pPr>
        <w:spacing w:after="60"/>
        <w:ind w:left="547" w:hanging="547"/>
      </w:pPr>
      <w:r>
        <w:rPr>
          <w:b/>
          <w:color w:val="FC0396"/>
          <w:sz w:val="20"/>
        </w:rPr>
        <w:t xml:space="preserve">8.  </w:t>
      </w:r>
      <w:r>
        <w:rPr>
          <w:rFonts w:ascii="Arial" w:hAnsi="Arial"/>
          <w:color w:val="14110F"/>
          <w:sz w:val="22"/>
        </w:rPr>
        <w:t>The acceptance procedure: who signs, against what criteria, and what happens when acceptance is withheld.</w:t>
      </w:r>
    </w:p>
    <w:p>
      <w:pPr>
        <w:spacing w:after="60"/>
        <w:ind w:left="547" w:hanging="547"/>
      </w:pPr>
      <w:r>
        <w:rPr>
          <w:b/>
          <w:color w:val="FC0396"/>
          <w:sz w:val="20"/>
        </w:rPr>
        <w:t xml:space="preserve">9.  </w:t>
      </w:r>
      <w:r>
        <w:rPr>
          <w:rFonts w:ascii="Arial" w:hAnsi="Arial"/>
          <w:color w:val="14110F"/>
          <w:sz w:val="22"/>
        </w:rPr>
        <w:t>How much client-side UAT effort you assume, in person-days.</w:t>
      </w:r>
    </w:p>
    <w:p>
      <w:pPr>
        <w:ind w:left="317"/>
      </w:pPr>
      <w:r>
        <w:rPr>
          <w:rFonts w:ascii="Arial" w:hAnsi="Arial"/>
          <w:i/>
          <w:color w:val="3F3F46"/>
          <w:sz w:val="20"/>
        </w:rPr>
        <w:t>Point 9 is a cost to you that appears in no vendor's price. Ask for the number so it can be resourced rather than discovered.</w:t>
      </w:r>
    </w:p>
    <w:p>
      <w:pPr>
        <w:pStyle w:val="Heading2"/>
        <w:keepNext/>
        <w:spacing w:before="400" w:after="120"/>
      </w:pPr>
      <w:r>
        <w:rPr>
          <w:b/>
          <w:color w:val="FC0396"/>
          <w:sz w:val="30"/>
        </w:rPr>
        <w:t xml:space="preserve">19   </w:t>
      </w:r>
      <w:r>
        <w:rPr>
          <w:b/>
          <w:color w:val="14110F"/>
          <w:sz w:val="30"/>
        </w:rPr>
        <w:t>Cutover and rollback</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The cutover runbook, hour by hour, with named owners.</w:t>
      </w:r>
    </w:p>
    <w:p>
      <w:pPr>
        <w:spacing w:after="60"/>
        <w:ind w:left="547" w:hanging="547"/>
      </w:pPr>
      <w:r>
        <w:rPr>
          <w:b/>
          <w:color w:val="FC0396"/>
          <w:sz w:val="20"/>
        </w:rPr>
        <w:t xml:space="preserve">2.  </w:t>
      </w:r>
      <w:r>
        <w:rPr>
          <w:rFonts w:ascii="Arial" w:hAnsi="Arial"/>
          <w:color w:val="14110F"/>
          <w:sz w:val="22"/>
        </w:rPr>
        <w:t>Is a rehearsal included, and how many?</w:t>
      </w:r>
    </w:p>
    <w:p>
      <w:pPr>
        <w:spacing w:after="60"/>
        <w:ind w:left="547" w:hanging="547"/>
      </w:pPr>
      <w:r>
        <w:rPr>
          <w:b/>
          <w:color w:val="FC0396"/>
          <w:sz w:val="20"/>
        </w:rPr>
        <w:t xml:space="preserve">3.  </w:t>
      </w:r>
      <w:r>
        <w:rPr>
          <w:rFonts w:ascii="Arial" w:hAnsi="Arial"/>
          <w:color w:val="14110F"/>
          <w:sz w:val="22"/>
        </w:rPr>
        <w:t>Content freeze: how long, and what is frozen.</w:t>
      </w:r>
    </w:p>
    <w:p>
      <w:pPr>
        <w:spacing w:after="60"/>
        <w:ind w:left="547" w:hanging="547"/>
      </w:pPr>
      <w:r>
        <w:rPr>
          <w:b/>
          <w:color w:val="FC0396"/>
          <w:sz w:val="20"/>
        </w:rPr>
        <w:t xml:space="preserve">4.  </w:t>
      </w:r>
      <w:r>
        <w:rPr>
          <w:rFonts w:ascii="Arial" w:hAnsi="Arial"/>
          <w:color w:val="14110F"/>
          <w:sz w:val="22"/>
        </w:rPr>
        <w:t>The DNS, TLS, and CDN sequence.</w:t>
      </w:r>
    </w:p>
    <w:p>
      <w:pPr>
        <w:spacing w:after="60"/>
        <w:ind w:left="547" w:hanging="547"/>
      </w:pPr>
      <w:r>
        <w:rPr>
          <w:b/>
          <w:color w:val="FC0396"/>
          <w:sz w:val="20"/>
        </w:rPr>
        <w:t xml:space="preserve">5.  </w:t>
      </w:r>
      <w:r>
        <w:rPr>
          <w:rFonts w:ascii="Arial" w:hAnsi="Arial"/>
          <w:color w:val="14110F"/>
          <w:sz w:val="22"/>
        </w:rPr>
        <w:t>When redirects are deployed relative to DNS.</w:t>
      </w:r>
    </w:p>
    <w:p>
      <w:pPr>
        <w:spacing w:after="60"/>
        <w:ind w:left="547" w:hanging="547"/>
      </w:pPr>
      <w:r>
        <w:rPr>
          <w:b/>
          <w:color w:val="FC0396"/>
          <w:sz w:val="20"/>
        </w:rPr>
        <w:t xml:space="preserve">6.  </w:t>
      </w:r>
      <w:r>
        <w:rPr>
          <w:rFonts w:ascii="Arial" w:hAnsi="Arial"/>
          <w:color w:val="14110F"/>
          <w:sz w:val="22"/>
        </w:rPr>
        <w:t>What is monitored during the window and by whom.</w:t>
      </w:r>
    </w:p>
    <w:p>
      <w:pPr>
        <w:spacing w:after="60"/>
        <w:ind w:left="547" w:hanging="547"/>
      </w:pPr>
      <w:r>
        <w:rPr>
          <w:b/>
          <w:color w:val="FC0396"/>
          <w:sz w:val="20"/>
        </w:rPr>
        <w:t xml:space="preserve">7.  </w:t>
      </w:r>
      <w:r>
        <w:rPr>
          <w:rFonts w:ascii="Arial" w:hAnsi="Arial"/>
          <w:color w:val="14110F"/>
          <w:sz w:val="22"/>
        </w:rPr>
        <w:t>The rollback trigger: who decides, on what evidence, inside what window.</w:t>
      </w:r>
    </w:p>
    <w:p>
      <w:pPr>
        <w:spacing w:after="60"/>
        <w:ind w:left="547" w:hanging="547"/>
      </w:pPr>
      <w:r>
        <w:rPr>
          <w:b/>
          <w:color w:val="FC0396"/>
          <w:sz w:val="20"/>
        </w:rPr>
        <w:t xml:space="preserve">8.  </w:t>
      </w:r>
      <w:r>
        <w:rPr>
          <w:rFonts w:ascii="Arial" w:hAnsi="Arial"/>
          <w:color w:val="14110F"/>
          <w:sz w:val="22"/>
        </w:rPr>
        <w:t>How long the old platform must stay available, and in what state.</w:t>
      </w:r>
    </w:p>
    <w:p>
      <w:pPr>
        <w:spacing w:after="60"/>
        <w:ind w:left="547" w:hanging="547"/>
      </w:pPr>
      <w:r>
        <w:rPr>
          <w:b/>
          <w:color w:val="FC0396"/>
          <w:sz w:val="20"/>
        </w:rPr>
        <w:t xml:space="preserve">9.  </w:t>
      </w:r>
      <w:r>
        <w:rPr>
          <w:rFonts w:ascii="Arial" w:hAnsi="Arial"/>
          <w:color w:val="14110F"/>
          <w:sz w:val="22"/>
        </w:rPr>
        <w:t>Communication plan: who tells the organisation, and when.</w:t>
      </w:r>
    </w:p>
    <w:p>
      <w:pPr>
        <w:spacing w:after="60"/>
        <w:ind w:left="547" w:hanging="547"/>
      </w:pPr>
      <w:r>
        <w:rPr>
          <w:b/>
          <w:color w:val="FC0396"/>
          <w:sz w:val="20"/>
        </w:rPr>
        <w:t xml:space="preserve">10. </w:t>
      </w:r>
      <w:r>
        <w:rPr>
          <w:rFonts w:ascii="Arial" w:hAnsi="Arial"/>
          <w:color w:val="14110F"/>
          <w:sz w:val="22"/>
        </w:rPr>
        <w:t>Out-of-hours arrangements, and whether they carry a premium.</w:t>
      </w:r>
    </w:p>
    <w:p>
      <w:pPr>
        <w:pStyle w:val="Heading2"/>
        <w:keepNext/>
        <w:spacing w:before="400" w:after="120"/>
      </w:pPr>
      <w:r>
        <w:rPr>
          <w:b/>
          <w:color w:val="FC0396"/>
          <w:sz w:val="30"/>
        </w:rPr>
        <w:t xml:space="preserve">20   </w:t>
      </w:r>
      <w:r>
        <w:rPr>
          <w:b/>
          <w:color w:val="14110F"/>
          <w:sz w:val="30"/>
        </w:rPr>
        <w:t>Hypercare and ongoing support</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Hypercare duration and what it covers.</w:t>
      </w:r>
    </w:p>
    <w:p>
      <w:pPr>
        <w:spacing w:after="60"/>
        <w:ind w:left="547" w:hanging="547"/>
      </w:pPr>
      <w:r>
        <w:rPr>
          <w:b/>
          <w:color w:val="FC0396"/>
          <w:sz w:val="20"/>
        </w:rPr>
        <w:t xml:space="preserve">2.  </w:t>
      </w:r>
      <w:r>
        <w:rPr>
          <w:rFonts w:ascii="Arial" w:hAnsi="Arial"/>
          <w:color w:val="14110F"/>
          <w:sz w:val="22"/>
        </w:rPr>
        <w:t>Response and resolution targets by severity, with the hours they apply in.</w:t>
      </w:r>
    </w:p>
    <w:p>
      <w:pPr>
        <w:spacing w:after="60"/>
        <w:ind w:left="547" w:hanging="547"/>
      </w:pPr>
      <w:r>
        <w:rPr>
          <w:b/>
          <w:color w:val="FC0396"/>
          <w:sz w:val="20"/>
        </w:rPr>
        <w:t xml:space="preserve">3.  </w:t>
      </w:r>
      <w:r>
        <w:rPr>
          <w:rFonts w:ascii="Arial" w:hAnsi="Arial"/>
          <w:color w:val="14110F"/>
          <w:sz w:val="22"/>
        </w:rPr>
        <w:t>The escalation path, with names and roles.</w:t>
      </w:r>
    </w:p>
    <w:p>
      <w:pPr>
        <w:spacing w:after="60"/>
        <w:ind w:left="547" w:hanging="547"/>
      </w:pPr>
      <w:r>
        <w:rPr>
          <w:b/>
          <w:color w:val="FC0396"/>
          <w:sz w:val="20"/>
        </w:rPr>
        <w:t xml:space="preserve">4.  </w:t>
      </w:r>
      <w:r>
        <w:rPr>
          <w:rFonts w:ascii="Arial" w:hAnsi="Arial"/>
          <w:color w:val="14110F"/>
          <w:sz w:val="22"/>
        </w:rPr>
        <w:t xml:space="preserve">Whether the delivery team stays on during hypercare, or the work transfers to a support desk. </w:t>
      </w:r>
      <w:r>
        <w:rPr>
          <w:rFonts w:ascii="Arial" w:hAnsi="Arial"/>
          <w:i/>
          <w:color w:val="14110F"/>
          <w:sz w:val="22"/>
        </w:rPr>
        <w:t>If it transfers, say when and how knowledge moves.</w:t>
      </w:r>
    </w:p>
    <w:p>
      <w:pPr>
        <w:spacing w:after="60"/>
        <w:ind w:left="547" w:hanging="547"/>
      </w:pPr>
      <w:r>
        <w:rPr>
          <w:b/>
          <w:color w:val="FC0396"/>
          <w:sz w:val="20"/>
        </w:rPr>
        <w:t xml:space="preserve">5.  </w:t>
      </w:r>
      <w:r>
        <w:rPr>
          <w:rFonts w:ascii="Arial" w:hAnsi="Arial"/>
          <w:color w:val="14110F"/>
          <w:sz w:val="22"/>
        </w:rPr>
        <w:t>What is included and what is billed.</w:t>
      </w:r>
    </w:p>
    <w:p>
      <w:pPr>
        <w:spacing w:after="60"/>
        <w:ind w:left="547" w:hanging="547"/>
      </w:pPr>
      <w:r>
        <w:rPr>
          <w:b/>
          <w:color w:val="FC0396"/>
          <w:sz w:val="20"/>
        </w:rPr>
        <w:t xml:space="preserve">6.  </w:t>
      </w:r>
      <w:r>
        <w:rPr>
          <w:rFonts w:ascii="Arial" w:hAnsi="Arial"/>
          <w:color w:val="14110F"/>
          <w:sz w:val="22"/>
        </w:rPr>
        <w:t>What the handover pack contains: repositories, credentials, infrastructure as code, runbooks, architecture decision records, documentation, and recordings.</w:t>
      </w:r>
    </w:p>
    <w:p>
      <w:pPr>
        <w:spacing w:after="60"/>
        <w:ind w:left="547" w:hanging="547"/>
      </w:pPr>
      <w:r>
        <w:rPr>
          <w:b/>
          <w:color w:val="FC0396"/>
          <w:sz w:val="20"/>
        </w:rPr>
        <w:t xml:space="preserve">7.  </w:t>
      </w:r>
      <w:r>
        <w:rPr>
          <w:rFonts w:ascii="Arial" w:hAnsi="Arial"/>
          <w:color w:val="14110F"/>
          <w:sz w:val="22"/>
        </w:rPr>
        <w:t>Ongoing support options after hypercare, priced.</w:t>
      </w:r>
    </w:p>
    <w:p>
      <w:pPr>
        <w:spacing w:after="60"/>
        <w:ind w:left="547" w:hanging="547"/>
      </w:pPr>
      <w:r>
        <w:rPr>
          <w:b/>
          <w:color w:val="FC0396"/>
          <w:sz w:val="20"/>
        </w:rPr>
        <w:t xml:space="preserve">8.  </w:t>
      </w:r>
      <w:r>
        <w:rPr>
          <w:rFonts w:ascii="Arial" w:hAnsi="Arial"/>
          <w:color w:val="14110F"/>
          <w:sz w:val="22"/>
        </w:rPr>
        <w:t>Hosting and infrastructure: who owns the accounts, and what happens to them at the end of the engagement.</w:t>
      </w:r>
    </w:p>
    <w:p>
      <w:pPr>
        <w:spacing w:after="60"/>
        <w:ind w:left="547" w:hanging="547"/>
      </w:pPr>
      <w:r>
        <w:rPr>
          <w:b/>
          <w:color w:val="FC0396"/>
          <w:sz w:val="20"/>
        </w:rPr>
        <w:t xml:space="preserve">9.  </w:t>
      </w:r>
      <w:r>
        <w:rPr>
          <w:rFonts w:ascii="Arial" w:hAnsi="Arial"/>
          <w:color w:val="14110F"/>
          <w:sz w:val="22"/>
        </w:rPr>
        <w:t>Monitoring and alerting: what is in place, who receives alerts.</w:t>
      </w:r>
    </w:p>
    <w:p>
      <w:pPr>
        <w:spacing w:after="60"/>
        <w:ind w:left="547" w:hanging="547"/>
      </w:pPr>
      <w:r>
        <w:rPr>
          <w:b/>
          <w:color w:val="FC0396"/>
          <w:sz w:val="20"/>
        </w:rPr>
        <w:t xml:space="preserve">10. </w:t>
      </w:r>
      <w:r>
        <w:rPr>
          <w:rFonts w:ascii="Arial" w:hAnsi="Arial"/>
          <w:color w:val="14110F"/>
          <w:sz w:val="22"/>
        </w:rPr>
        <w:t>Confirm the client can operate the platform without you, and describe what makes that true.</w:t>
      </w:r>
    </w:p>
    <w:p>
      <w:pPr>
        <w:ind w:left="317"/>
      </w:pPr>
      <w:r>
        <w:rPr>
          <w:rFonts w:ascii="Arial" w:hAnsi="Arial"/>
          <w:i/>
          <w:color w:val="3F3F46"/>
          <w:sz w:val="20"/>
        </w:rPr>
        <w:t>Point 10 is the question that separates a handover from a dependency. Ask for the evidence, and read the answer to point 6 against it.</w:t>
      </w:r>
    </w:p>
    <w:p>
      <w:pPr>
        <w:pStyle w:val="Heading2"/>
        <w:keepNext/>
        <w:spacing w:before="400" w:after="120"/>
      </w:pPr>
      <w:r>
        <w:rPr>
          <w:b/>
          <w:color w:val="FC0396"/>
          <w:sz w:val="30"/>
        </w:rPr>
        <w:t xml:space="preserve">21   </w:t>
      </w:r>
      <w:r>
        <w:rPr>
          <w:b/>
          <w:color w:val="14110F"/>
          <w:sz w:val="30"/>
        </w:rPr>
        <w:t>Team, ways of working, and references</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Named team, roles, and the percentage of time each is allocated.</w:t>
      </w:r>
    </w:p>
    <w:p>
      <w:pPr>
        <w:spacing w:after="60"/>
        <w:ind w:left="547" w:hanging="547"/>
      </w:pPr>
      <w:r>
        <w:rPr>
          <w:b/>
          <w:color w:val="FC0396"/>
          <w:sz w:val="20"/>
        </w:rPr>
        <w:t xml:space="preserve">2.  </w:t>
      </w:r>
      <w:r>
        <w:rPr>
          <w:rFonts w:ascii="Arial" w:hAnsi="Arial"/>
          <w:color w:val="14110F"/>
          <w:sz w:val="22"/>
        </w:rPr>
        <w:t>Which named people are on the project and which are on the pitch.</w:t>
      </w:r>
    </w:p>
    <w:p>
      <w:pPr>
        <w:spacing w:after="60"/>
        <w:ind w:left="547" w:hanging="547"/>
      </w:pPr>
      <w:r>
        <w:rPr>
          <w:b/>
          <w:color w:val="FC0396"/>
          <w:sz w:val="20"/>
        </w:rPr>
        <w:t xml:space="preserve">3.  </w:t>
      </w:r>
      <w:r>
        <w:rPr>
          <w:rFonts w:ascii="Arial" w:hAnsi="Arial"/>
          <w:color w:val="14110F"/>
          <w:sz w:val="22"/>
        </w:rPr>
        <w:t>Location and time-zone overlap with our team.</w:t>
      </w:r>
    </w:p>
    <w:p>
      <w:pPr>
        <w:spacing w:after="60"/>
        <w:ind w:left="547" w:hanging="547"/>
      </w:pPr>
      <w:r>
        <w:rPr>
          <w:b/>
          <w:color w:val="FC0396"/>
          <w:sz w:val="20"/>
        </w:rPr>
        <w:t xml:space="preserve">4.  </w:t>
      </w:r>
      <w:r>
        <w:rPr>
          <w:rFonts w:ascii="Arial" w:hAnsi="Arial"/>
          <w:color w:val="14110F"/>
          <w:sz w:val="22"/>
        </w:rPr>
        <w:t>Subcontractors used, and for what.</w:t>
      </w:r>
    </w:p>
    <w:p>
      <w:pPr>
        <w:spacing w:after="60"/>
        <w:ind w:left="547" w:hanging="547"/>
      </w:pPr>
      <w:r>
        <w:rPr>
          <w:b/>
          <w:color w:val="FC0396"/>
          <w:sz w:val="20"/>
        </w:rPr>
        <w:t xml:space="preserve">5.  </w:t>
      </w:r>
      <w:r>
        <w:rPr>
          <w:rFonts w:ascii="Arial" w:hAnsi="Arial"/>
          <w:color w:val="14110F"/>
          <w:sz w:val="22"/>
        </w:rPr>
        <w:t>Sprint cadence, ceremonies, and what we are expected to attend.</w:t>
      </w:r>
    </w:p>
    <w:p>
      <w:pPr>
        <w:spacing w:after="60"/>
        <w:ind w:left="547" w:hanging="547"/>
      </w:pPr>
      <w:r>
        <w:rPr>
          <w:b/>
          <w:color w:val="FC0396"/>
          <w:sz w:val="20"/>
        </w:rPr>
        <w:t xml:space="preserve">6.  </w:t>
      </w:r>
      <w:r>
        <w:rPr>
          <w:rFonts w:ascii="Arial" w:hAnsi="Arial"/>
          <w:color w:val="14110F"/>
          <w:sz w:val="22"/>
        </w:rPr>
        <w:t>Reporting: what we receive, how often.</w:t>
      </w:r>
    </w:p>
    <w:p>
      <w:pPr>
        <w:spacing w:after="60"/>
        <w:ind w:left="547" w:hanging="547"/>
      </w:pPr>
      <w:r>
        <w:rPr>
          <w:b/>
          <w:color w:val="FC0396"/>
          <w:sz w:val="20"/>
        </w:rPr>
        <w:t xml:space="preserve">7.  </w:t>
      </w:r>
      <w:r>
        <w:rPr>
          <w:rFonts w:ascii="Arial" w:hAnsi="Arial"/>
          <w:color w:val="14110F"/>
          <w:sz w:val="22"/>
        </w:rPr>
        <w:t>How scope changes are raised, priced, and approved.</w:t>
      </w:r>
    </w:p>
    <w:p>
      <w:pPr>
        <w:spacing w:after="60"/>
        <w:ind w:left="547" w:hanging="547"/>
      </w:pPr>
      <w:r>
        <w:rPr>
          <w:b/>
          <w:color w:val="FC0396"/>
          <w:sz w:val="20"/>
        </w:rPr>
        <w:t xml:space="preserve">8.  </w:t>
      </w:r>
      <w:r>
        <w:rPr>
          <w:rFonts w:ascii="Arial" w:hAnsi="Arial"/>
          <w:color w:val="14110F"/>
          <w:sz w:val="22"/>
        </w:rPr>
        <w:t>Three references from comparable migrations, with contactable names.</w:t>
      </w:r>
    </w:p>
    <w:p>
      <w:pPr>
        <w:spacing w:after="60"/>
        <w:ind w:left="547" w:hanging="547"/>
      </w:pPr>
      <w:r>
        <w:rPr>
          <w:b/>
          <w:color w:val="FC0396"/>
          <w:sz w:val="20"/>
        </w:rPr>
        <w:t xml:space="preserve">9.  </w:t>
      </w:r>
      <w:r>
        <w:rPr>
          <w:rFonts w:ascii="Arial" w:hAnsi="Arial"/>
          <w:color w:val="14110F"/>
          <w:sz w:val="22"/>
        </w:rPr>
        <w:t xml:space="preserve">One migration that went badly, what happened, and what changed afterwards. </w:t>
      </w:r>
      <w:r>
        <w:rPr>
          <w:rFonts w:ascii="Arial" w:hAnsi="Arial"/>
          <w:i/>
          <w:color w:val="14110F"/>
          <w:sz w:val="22"/>
        </w:rPr>
        <w:t>Ask for lessons that changed the proposed delivery method.</w:t>
      </w:r>
    </w:p>
    <w:p>
      <w:pPr>
        <w:pStyle w:val="Heading2"/>
        <w:keepNext/>
        <w:spacing w:before="400" w:after="120"/>
      </w:pPr>
      <w:r>
        <w:rPr>
          <w:b/>
          <w:color w:val="FC0396"/>
          <w:sz w:val="30"/>
        </w:rPr>
        <w:t xml:space="preserve">22   </w:t>
      </w:r>
      <w:r>
        <w:rPr>
          <w:b/>
          <w:color w:val="14110F"/>
          <w:sz w:val="30"/>
        </w:rPr>
        <w:t>Commercials</w:t>
      </w:r>
      <w:r>
        <w:rPr>
          <w:b/>
          <w:color w:val="FC0396"/>
          <w:sz w:val="16"/>
        </w:rPr>
        <w:t xml:space="preserve">   VENDOR</w:t>
      </w:r>
    </w:p>
    <w:p>
      <w:r>
        <w:rPr>
          <w:rFonts w:ascii="Arial" w:hAnsi="Arial"/>
          <w:color w:val="14110F"/>
          <w:sz w:val="22"/>
        </w:rPr>
        <w:t>Price against this schedule so the numbers can be compared.</w:t>
      </w:r>
    </w:p>
    <w:tbl>
      <w:tblPr>
        <w:tblW w:type="auto" w:w="0"/>
        <w:jc w:val="left"/>
        <w:tblLayout w:type="fixed"/>
        <w:tblLook w:firstColumn="1" w:firstRow="1" w:lastColumn="0" w:lastRow="0" w:noHBand="0" w:noVBand="1" w:val="04A0"/>
      </w:tblPr>
      <w:tblGrid>
        <w:gridCol w:w="3213"/>
        <w:gridCol w:w="3213"/>
        <w:gridCol w:w="3213"/>
      </w:tblGrid>
      <w:tr>
        <w:trPr>
          <w:tblHeader/>
        </w:trPr>
        <w:tc>
          <w:tcPr>
            <w:tcW w:type="dxa" w:w="3213"/>
            <w:tcBorders>
              <w:top w:val="nil"/>
              <w:left w:val="nil"/>
              <w:bottom w:val="single" w:sz="8" w:color="14110F"/>
              <w:right w:val="nil"/>
            </w:tcBorders>
          </w:tcPr>
          <w:p>
            <w:pPr>
              <w:keepNext/>
              <w:spacing w:after="60" w:before="60"/>
            </w:pPr>
            <w:r/>
            <w:r>
              <w:rPr>
                <w:rFonts w:ascii="Arial" w:hAnsi="Arial"/>
                <w:b/>
                <w:color w:val="FC0396"/>
                <w:sz w:val="15"/>
              </w:rPr>
              <w:t>LINE</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FIXED / T&amp;M / ESTIMATE</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PRICE</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Discovery and content inventory</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Content model and architecture</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Platform configuration and build</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Front-end build</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Content migration — automated</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Content migration — manual handling</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 xml:space="preserve">Integrations </w:t>
            </w:r>
            <w:r>
              <w:rPr>
                <w:rFonts w:ascii="Arial" w:hAnsi="Arial"/>
                <w:i/>
                <w:color w:val="14110F"/>
                <w:sz w:val="18"/>
              </w:rPr>
              <w:t>(itemised per Section 14)</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Redirects and search continuity</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Accessibility conformance work</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QA and testing</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 xml:space="preserve">Penetration test </w:t>
            </w:r>
            <w:r>
              <w:rPr>
                <w:rFonts w:ascii="Arial" w:hAnsi="Arial"/>
                <w:i/>
                <w:color w:val="14110F"/>
                <w:sz w:val="18"/>
              </w:rPr>
              <w:t>(if in scope)</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 xml:space="preserve">Training </w:t>
            </w:r>
            <w:r>
              <w:rPr>
                <w:rFonts w:ascii="Arial" w:hAnsi="Arial"/>
                <w:i/>
                <w:color w:val="14110F"/>
                <w:sz w:val="18"/>
              </w:rPr>
              <w:t>(per group)</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Cutover, including rehearsals</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Hypercare</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Documentation and handover</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Project management</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Contingency</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b/>
                <w:color w:val="14110F"/>
                <w:sz w:val="18"/>
              </w:rPr>
              <w:t>Total</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bl>
    <w:p>
      <w:pPr>
        <w:spacing w:after="80"/>
      </w:pPr>
    </w:p>
    <w:p>
      <w:r>
        <w:rPr>
          <w:rFonts w:ascii="Arial" w:hAnsi="Arial"/>
          <w:color w:val="14110F"/>
          <w:sz w:val="22"/>
        </w:rPr>
        <w:t>Also state:</w:t>
      </w:r>
    </w:p>
    <w:p>
      <w:pPr>
        <w:spacing w:after="60"/>
        <w:ind w:left="547" w:hanging="547"/>
      </w:pPr>
      <w:r>
        <w:rPr>
          <w:b/>
          <w:color w:val="FC0396"/>
          <w:sz w:val="20"/>
        </w:rPr>
        <w:t xml:space="preserve">1.  </w:t>
      </w:r>
      <w:r>
        <w:rPr>
          <w:rFonts w:ascii="Arial" w:hAnsi="Arial"/>
          <w:color w:val="14110F"/>
          <w:sz w:val="22"/>
        </w:rPr>
        <w:t>Payment schedule and what triggers each payment.</w:t>
      </w:r>
    </w:p>
    <w:p>
      <w:pPr>
        <w:spacing w:after="60"/>
        <w:ind w:left="547" w:hanging="547"/>
      </w:pPr>
      <w:r>
        <w:rPr>
          <w:b/>
          <w:color w:val="FC0396"/>
          <w:sz w:val="20"/>
        </w:rPr>
        <w:t xml:space="preserve">2.  </w:t>
      </w:r>
      <w:r>
        <w:rPr>
          <w:rFonts w:ascii="Arial" w:hAnsi="Arial"/>
          <w:color w:val="14110F"/>
          <w:sz w:val="22"/>
        </w:rPr>
        <w:t>Day rates by role, for work outside the fixed scope.</w:t>
      </w:r>
    </w:p>
    <w:p>
      <w:pPr>
        <w:spacing w:after="60"/>
        <w:ind w:left="547" w:hanging="547"/>
      </w:pPr>
      <w:r>
        <w:rPr>
          <w:b/>
          <w:color w:val="FC0396"/>
          <w:sz w:val="20"/>
        </w:rPr>
        <w:t xml:space="preserve">3.  </w:t>
      </w:r>
      <w:r>
        <w:rPr>
          <w:rFonts w:ascii="Arial" w:hAnsi="Arial"/>
          <w:color w:val="14110F"/>
          <w:sz w:val="22"/>
        </w:rPr>
        <w:t>What a change request costs and how long it takes to price.</w:t>
      </w:r>
    </w:p>
    <w:p>
      <w:pPr>
        <w:spacing w:after="60"/>
        <w:ind w:left="547" w:hanging="547"/>
      </w:pPr>
      <w:r>
        <w:rPr>
          <w:b/>
          <w:color w:val="FC0396"/>
          <w:sz w:val="20"/>
        </w:rPr>
        <w:t xml:space="preserve">4.  </w:t>
      </w:r>
      <w:r>
        <w:rPr>
          <w:rFonts w:ascii="Arial" w:hAnsi="Arial"/>
          <w:color w:val="14110F"/>
          <w:sz w:val="22"/>
        </w:rPr>
        <w:t>Currency, and who carries exchange-rate movement.</w:t>
      </w:r>
    </w:p>
    <w:p>
      <w:pPr>
        <w:spacing w:after="60"/>
        <w:ind w:left="547" w:hanging="547"/>
      </w:pPr>
      <w:r>
        <w:rPr>
          <w:b/>
          <w:color w:val="FC0396"/>
          <w:sz w:val="20"/>
        </w:rPr>
        <w:t xml:space="preserve">5.  </w:t>
      </w:r>
      <w:r>
        <w:rPr>
          <w:rFonts w:ascii="Arial" w:hAnsi="Arial"/>
          <w:color w:val="14110F"/>
          <w:sz w:val="22"/>
        </w:rPr>
        <w:t>Expenses policy.</w:t>
      </w:r>
    </w:p>
    <w:p>
      <w:pPr>
        <w:spacing w:after="60"/>
        <w:ind w:left="547" w:hanging="547"/>
      </w:pPr>
      <w:r>
        <w:rPr>
          <w:b/>
          <w:color w:val="FC0396"/>
          <w:sz w:val="20"/>
        </w:rPr>
        <w:t xml:space="preserve">6.  </w:t>
      </w:r>
      <w:r>
        <w:rPr>
          <w:rFonts w:ascii="Arial" w:hAnsi="Arial"/>
          <w:color w:val="14110F"/>
          <w:sz w:val="22"/>
        </w:rPr>
        <w:t>Third-party costs you will pass through: licences, hosting, tooling.</w:t>
      </w:r>
    </w:p>
    <w:p>
      <w:pPr>
        <w:spacing w:after="60"/>
        <w:ind w:left="547" w:hanging="547"/>
      </w:pPr>
      <w:r>
        <w:rPr>
          <w:b/>
          <w:color w:val="FC0396"/>
          <w:sz w:val="20"/>
        </w:rPr>
        <w:t xml:space="preserve">7.  </w:t>
      </w:r>
      <w:r>
        <w:rPr>
          <w:rFonts w:ascii="Arial" w:hAnsi="Arial"/>
          <w:color w:val="14110F"/>
          <w:sz w:val="22"/>
        </w:rPr>
        <w:t>Annual run cost after launch, itemised, for three years.</w:t>
      </w:r>
    </w:p>
    <w:p>
      <w:pPr>
        <w:ind w:left="317"/>
      </w:pPr>
      <w:r>
        <w:rPr>
          <w:rFonts w:ascii="Arial" w:hAnsi="Arial"/>
          <w:i/>
          <w:color w:val="3F3F46"/>
          <w:sz w:val="20"/>
        </w:rPr>
        <w:t>The last line is the one that changes decisions. A build price that wins on the spreadsheet and carries a licence model that scales with seats, locales, or API calls can be the more expensive option by year two. Ask for the three-year figure and model it against the platform you are leaving.</w:t>
      </w:r>
    </w:p>
    <w:p>
      <w:r>
        <w:rPr>
          <w:rFonts w:ascii="Arial" w:hAnsi="Arial"/>
          <w:b/>
          <w:color w:val="14110F"/>
          <w:sz w:val="22"/>
        </w:rPr>
        <w:t>Three-year comparison basis.</w:t>
      </w:r>
      <w:r>
        <w:rPr>
          <w:rFonts w:ascii="Arial" w:hAnsi="Arial"/>
          <w:color w:val="14110F"/>
          <w:sz w:val="22"/>
        </w:rPr>
        <w:t xml:space="preserve"> Complete the companion workbook on one currency and tax basis. Confirm whether “Year 1” starts at contract award or go-live and use the same definition for every bidder. Ask vendors to state the usage assumptions behind each annual price: editors, locales, traffic, storage, API calls and environments.</w:t>
      </w:r>
    </w:p>
    <w:p>
      <w:r>
        <w:rPr>
          <w:rFonts w:ascii="Arial" w:hAnsi="Arial"/>
          <w:color w:val="14110F"/>
          <w:sz w:val="22"/>
        </w:rPr>
        <w:t>Include implementation once, then the three annual run costs. List licences, hosting, support, internal operating effort, old-platform overlap, and any exit allowance separately. Enter 0 only for a confirmed zero cost; leave an unknown blank and request clarification. Remove any cost already included in another line. This is an undiscounted comparison, not a cash flow forecast. Record exclusions and sensitivity to usage growth.</w:t>
      </w:r>
    </w:p>
    <w:p>
      <w:pPr>
        <w:pStyle w:val="Heading2"/>
        <w:keepNext/>
        <w:spacing w:before="400" w:after="120"/>
      </w:pPr>
      <w:r>
        <w:rPr>
          <w:b/>
          <w:color w:val="FC0396"/>
          <w:sz w:val="30"/>
        </w:rPr>
        <w:t xml:space="preserve">23   </w:t>
      </w:r>
      <w:r>
        <w:rPr>
          <w:b/>
          <w:color w:val="14110F"/>
          <w:sz w:val="30"/>
        </w:rPr>
        <w:t>Contract terms: IP, data, and exit</w:t>
      </w:r>
      <w:r>
        <w:rPr>
          <w:b/>
          <w:color w:val="FC0396"/>
          <w:sz w:val="16"/>
        </w:rPr>
        <w:t xml:space="preserve">   VENDOR</w:t>
      </w:r>
    </w:p>
    <w:p>
      <w:pPr>
        <w:spacing w:after="60"/>
        <w:ind w:left="547" w:hanging="547"/>
      </w:pPr>
      <w:r>
        <w:rPr>
          <w:b/>
          <w:color w:val="FC0396"/>
          <w:sz w:val="20"/>
        </w:rPr>
        <w:t xml:space="preserve">1.  </w:t>
      </w:r>
      <w:r>
        <w:rPr>
          <w:rFonts w:ascii="Arial" w:hAnsi="Arial"/>
          <w:color w:val="14110F"/>
          <w:sz w:val="22"/>
        </w:rPr>
        <w:t xml:space="preserve">Who owns the code at the end. </w:t>
      </w:r>
      <w:r>
        <w:rPr>
          <w:rFonts w:ascii="Arial" w:hAnsi="Arial"/>
          <w:i/>
          <w:color w:val="14110F"/>
          <w:sz w:val="22"/>
        </w:rPr>
        <w:t>State it plainly.</w:t>
      </w:r>
    </w:p>
    <w:p>
      <w:pPr>
        <w:spacing w:after="60"/>
        <w:ind w:left="547" w:hanging="547"/>
      </w:pPr>
      <w:r>
        <w:rPr>
          <w:b/>
          <w:color w:val="FC0396"/>
          <w:sz w:val="20"/>
        </w:rPr>
        <w:t xml:space="preserve">2.  </w:t>
      </w:r>
      <w:r>
        <w:rPr>
          <w:rFonts w:ascii="Arial" w:hAnsi="Arial"/>
          <w:color w:val="14110F"/>
          <w:sz w:val="22"/>
        </w:rPr>
        <w:t>Who owns the content and the data.</w:t>
      </w:r>
    </w:p>
    <w:p>
      <w:pPr>
        <w:spacing w:after="60"/>
        <w:ind w:left="547" w:hanging="547"/>
      </w:pPr>
      <w:r>
        <w:rPr>
          <w:b/>
          <w:color w:val="FC0396"/>
          <w:sz w:val="20"/>
        </w:rPr>
        <w:t xml:space="preserve">3.  </w:t>
      </w:r>
      <w:r>
        <w:rPr>
          <w:rFonts w:ascii="Arial" w:hAnsi="Arial"/>
          <w:color w:val="14110F"/>
          <w:sz w:val="22"/>
        </w:rPr>
        <w:t>Licences required to run the platform, named, with their commercial model and current published pricing.</w:t>
      </w:r>
    </w:p>
    <w:p>
      <w:pPr>
        <w:spacing w:after="60"/>
        <w:ind w:left="547" w:hanging="547"/>
      </w:pPr>
      <w:r>
        <w:rPr>
          <w:b/>
          <w:color w:val="FC0396"/>
          <w:sz w:val="20"/>
        </w:rPr>
        <w:t xml:space="preserve">4.  </w:t>
      </w:r>
      <w:r>
        <w:rPr>
          <w:rFonts w:ascii="Arial" w:hAnsi="Arial"/>
          <w:color w:val="14110F"/>
          <w:sz w:val="22"/>
        </w:rPr>
        <w:t>Any component you retain rights to that we depend on.</w:t>
      </w:r>
    </w:p>
    <w:p>
      <w:pPr>
        <w:spacing w:after="60"/>
        <w:ind w:left="547" w:hanging="547"/>
      </w:pPr>
      <w:r>
        <w:rPr>
          <w:b/>
          <w:color w:val="FC0396"/>
          <w:sz w:val="20"/>
        </w:rPr>
        <w:t xml:space="preserve">5.  </w:t>
      </w:r>
      <w:r>
        <w:rPr>
          <w:rFonts w:ascii="Arial" w:hAnsi="Arial"/>
          <w:color w:val="14110F"/>
          <w:sz w:val="22"/>
        </w:rPr>
        <w:t>Open-source licences in the delivered stack.</w:t>
      </w:r>
    </w:p>
    <w:p>
      <w:pPr>
        <w:spacing w:after="60"/>
        <w:ind w:left="547" w:hanging="547"/>
      </w:pPr>
      <w:r>
        <w:rPr>
          <w:b/>
          <w:color w:val="FC0396"/>
          <w:sz w:val="20"/>
        </w:rPr>
        <w:t xml:space="preserve">6.  </w:t>
      </w:r>
      <w:r>
        <w:rPr>
          <w:rFonts w:ascii="Arial" w:hAnsi="Arial"/>
          <w:color w:val="14110F"/>
          <w:sz w:val="22"/>
        </w:rPr>
        <w:t>Where our data is stored and processed, including sub-processors.</w:t>
      </w:r>
    </w:p>
    <w:p>
      <w:pPr>
        <w:spacing w:after="60"/>
        <w:ind w:left="547" w:hanging="547"/>
      </w:pPr>
      <w:r>
        <w:rPr>
          <w:b/>
          <w:color w:val="FC0396"/>
          <w:sz w:val="20"/>
        </w:rPr>
        <w:t xml:space="preserve">7.  </w:t>
      </w:r>
      <w:r>
        <w:rPr>
          <w:rFonts w:ascii="Arial" w:hAnsi="Arial"/>
          <w:color w:val="14110F"/>
          <w:sz w:val="22"/>
        </w:rPr>
        <w:t>DPA position.</w:t>
      </w:r>
    </w:p>
    <w:p>
      <w:pPr>
        <w:spacing w:after="60"/>
        <w:ind w:left="547" w:hanging="547"/>
      </w:pPr>
      <w:r>
        <w:rPr>
          <w:b/>
          <w:color w:val="FC0396"/>
          <w:sz w:val="20"/>
        </w:rPr>
        <w:t xml:space="preserve">8.  </w:t>
      </w:r>
      <w:r>
        <w:rPr>
          <w:rFonts w:ascii="Arial" w:hAnsi="Arial"/>
          <w:color w:val="14110F"/>
          <w:sz w:val="22"/>
        </w:rPr>
        <w:t>Exit terms: notice period, what we receive, in what format, how long it takes.</w:t>
      </w:r>
    </w:p>
    <w:p>
      <w:pPr>
        <w:spacing w:after="60"/>
        <w:ind w:left="547" w:hanging="547"/>
      </w:pPr>
      <w:r>
        <w:rPr>
          <w:b/>
          <w:color w:val="FC0396"/>
          <w:sz w:val="20"/>
        </w:rPr>
        <w:t xml:space="preserve">9.  </w:t>
      </w:r>
      <w:r>
        <w:rPr>
          <w:rFonts w:ascii="Arial" w:hAnsi="Arial"/>
          <w:color w:val="14110F"/>
          <w:sz w:val="22"/>
        </w:rPr>
        <w:t>Warranty period and what it covers.</w:t>
      </w:r>
    </w:p>
    <w:p>
      <w:pPr>
        <w:spacing w:after="60"/>
        <w:ind w:left="547" w:hanging="547"/>
      </w:pPr>
      <w:r>
        <w:rPr>
          <w:b/>
          <w:color w:val="FC0396"/>
          <w:sz w:val="20"/>
        </w:rPr>
        <w:t xml:space="preserve">10. </w:t>
      </w:r>
      <w:r>
        <w:rPr>
          <w:rFonts w:ascii="Arial" w:hAnsi="Arial"/>
          <w:color w:val="14110F"/>
          <w:sz w:val="22"/>
        </w:rPr>
        <w:t>Liability cap and insurance held.</w:t>
      </w:r>
    </w:p>
    <w:p>
      <w:pPr>
        <w:pStyle w:val="Heading1"/>
        <w:keepNext/>
        <w:pageBreakBefore/>
        <w:spacing w:before="520" w:after="120"/>
      </w:pPr>
      <w:r>
        <w:rPr>
          <w:b/>
          <w:color w:val="14110F"/>
          <w:sz w:val="44"/>
        </w:rPr>
        <w:t>Part 3 — Evaluating the responses</w:t>
      </w:r>
    </w:p>
    <w:p>
      <w:pPr>
        <w:pStyle w:val="Heading2"/>
        <w:keepNext/>
        <w:spacing w:before="400" w:after="120"/>
      </w:pPr>
      <w:r>
        <w:rPr>
          <w:b/>
          <w:color w:val="FC0396"/>
          <w:sz w:val="30"/>
        </w:rPr>
        <w:t xml:space="preserve">24   </w:t>
      </w:r>
      <w:r>
        <w:rPr>
          <w:b/>
          <w:color w:val="14110F"/>
          <w:sz w:val="30"/>
        </w:rPr>
        <w:t>Weighted scoring matrix</w:t>
      </w:r>
    </w:p>
    <w:p>
      <w:r>
        <w:rPr>
          <w:rFonts w:ascii="Arial" w:hAnsi="Arial"/>
          <w:b/>
          <w:color w:val="14110F"/>
          <w:sz w:val="22"/>
        </w:rPr>
        <w:t>Mandatory criteria come first.</w:t>
      </w:r>
      <w:r>
        <w:rPr>
          <w:rFonts w:ascii="Arial" w:hAnsi="Arial"/>
          <w:color w:val="14110F"/>
          <w:sz w:val="22"/>
        </w:rPr>
        <w:t xml:space="preserve"> Record conditions that cannot be traded against price, such as a required data location, a launch deadline, or an accessibility commitment. Name the evidence and owner for each. Decide how clarifications and exceptions are handled before issuing the RFP. A high weighted score does not override an unmet mandatory criterion.</w:t>
      </w:r>
    </w:p>
    <w:tbl>
      <w:tblPr>
        <w:tblW w:type="auto" w:w="0"/>
        <w:jc w:val="left"/>
        <w:tblLayout w:type="fixed"/>
        <w:tblLook w:firstColumn="1" w:firstRow="1" w:lastColumn="0" w:lastRow="0" w:noHBand="0" w:noVBand="1" w:val="04A0"/>
      </w:tblPr>
      <w:tblGrid>
        <w:gridCol w:w="3213"/>
        <w:gridCol w:w="3213"/>
        <w:gridCol w:w="3213"/>
      </w:tblGrid>
      <w:tr>
        <w:trPr>
          <w:tblHeader/>
        </w:trPr>
        <w:tc>
          <w:tcPr>
            <w:tcW w:type="dxa" w:w="3213"/>
            <w:tcBorders>
              <w:top w:val="nil"/>
              <w:left w:val="nil"/>
              <w:bottom w:val="single" w:sz="8" w:color="14110F"/>
              <w:right w:val="nil"/>
            </w:tcBorders>
          </w:tcPr>
          <w:p>
            <w:pPr>
              <w:keepNext/>
              <w:spacing w:after="60" w:before="60"/>
            </w:pPr>
            <w:r/>
            <w:r>
              <w:rPr>
                <w:rFonts w:ascii="Arial" w:hAnsi="Arial"/>
                <w:b/>
                <w:color w:val="FC0396"/>
                <w:sz w:val="15"/>
              </w:rPr>
              <w:t>MANDATORY CRITERION</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EVIDENCE REQUIRED</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DECISION OWNER</w:t>
            </w:r>
          </w:p>
        </w:tc>
      </w:tr>
      <w:tr>
        <w:trPr>
          <w:cantSplit/>
        </w:trPr>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c>
          <w:tcPr>
            <w:tcW w:type="dxa" w:w="3213"/>
            <w:tcBorders>
              <w:top w:val="nil"/>
              <w:left w:val="nil"/>
              <w:bottom w:val="single" w:sz="4" w:color="D9D9D9"/>
              <w:right w:val="nil"/>
            </w:tcBorders>
          </w:tcPr>
          <w:p>
            <w:pPr>
              <w:spacing w:after="60" w:before="60"/>
            </w:pPr>
            <w:r/>
            <w:r>
              <w:rPr>
                <w:sz w:val="22"/>
              </w:rPr>
              <w:t xml:space="preserve"> </w:t>
            </w:r>
          </w:p>
        </w:tc>
      </w:tr>
    </w:tbl>
    <w:p>
      <w:pPr>
        <w:spacing w:after="80"/>
      </w:pPr>
    </w:p>
    <w:p>
      <w:r>
        <w:rPr>
          <w:rFonts w:ascii="Arial" w:hAnsi="Arial"/>
          <w:b/>
          <w:color w:val="14110F"/>
          <w:sz w:val="22"/>
        </w:rPr>
        <w:t>Weighted evaluation.</w:t>
      </w:r>
      <w:r>
        <w:rPr>
          <w:rFonts w:ascii="Arial" w:hAnsi="Arial"/>
          <w:color w:val="14110F"/>
          <w:sz w:val="22"/>
        </w:rPr>
        <w:t xml:space="preserve"> Agree and publish weights before responses arrive. The following is a starting model for an implementation procurement. Score each vendor independently, then record the panel's agreed score and the proposal page or demonstration that supports it.</w:t>
      </w:r>
    </w:p>
    <w:tbl>
      <w:tblPr>
        <w:tblW w:type="auto" w:w="0"/>
        <w:jc w:val="left"/>
        <w:tblLayout w:type="fixed"/>
        <w:tblLook w:firstColumn="1" w:firstRow="1" w:lastColumn="0" w:lastRow="0" w:noHBand="0" w:noVBand="1" w:val="04A0"/>
      </w:tblPr>
      <w:tblGrid>
        <w:gridCol w:w="3084"/>
        <w:gridCol w:w="964"/>
        <w:gridCol w:w="5590"/>
      </w:tblGrid>
      <w:tr>
        <w:trPr>
          <w:tblHeader/>
        </w:trPr>
        <w:tc>
          <w:tcPr>
            <w:tcW w:type="dxa" w:w="3084"/>
            <w:tcBorders>
              <w:top w:val="nil"/>
              <w:left w:val="nil"/>
              <w:bottom w:val="single" w:sz="8" w:color="14110F"/>
              <w:right w:val="nil"/>
            </w:tcBorders>
          </w:tcPr>
          <w:p>
            <w:pPr>
              <w:keepNext/>
              <w:spacing w:after="60" w:before="60"/>
            </w:pPr>
            <w:r/>
            <w:r>
              <w:rPr>
                <w:rFonts w:ascii="Arial" w:hAnsi="Arial"/>
                <w:b/>
                <w:color w:val="FC0396"/>
                <w:sz w:val="15"/>
              </w:rPr>
              <w:t>CRITERION</w:t>
            </w:r>
          </w:p>
        </w:tc>
        <w:tc>
          <w:tcPr>
            <w:tcW w:type="dxa" w:w="964"/>
            <w:tcBorders>
              <w:top w:val="nil"/>
              <w:left w:val="nil"/>
              <w:bottom w:val="single" w:sz="8" w:color="14110F"/>
              <w:right w:val="nil"/>
            </w:tcBorders>
          </w:tcPr>
          <w:p>
            <w:pPr>
              <w:keepNext/>
              <w:spacing w:after="60" w:before="60"/>
            </w:pPr>
            <w:r/>
            <w:r>
              <w:rPr>
                <w:rFonts w:ascii="Arial" w:hAnsi="Arial"/>
                <w:b/>
                <w:color w:val="FC0396"/>
                <w:sz w:val="15"/>
              </w:rPr>
              <w:t>WEIGHT</w:t>
            </w:r>
          </w:p>
        </w:tc>
        <w:tc>
          <w:tcPr>
            <w:tcW w:type="dxa" w:w="5590"/>
            <w:tcBorders>
              <w:top w:val="nil"/>
              <w:left w:val="nil"/>
              <w:bottom w:val="single" w:sz="8" w:color="14110F"/>
              <w:right w:val="nil"/>
            </w:tcBorders>
          </w:tcPr>
          <w:p>
            <w:pPr>
              <w:keepNext/>
              <w:spacing w:after="60" w:before="60"/>
            </w:pPr>
            <w:r/>
            <w:r>
              <w:rPr>
                <w:rFonts w:ascii="Arial" w:hAnsi="Arial"/>
                <w:b/>
                <w:color w:val="FC0396"/>
                <w:sz w:val="15"/>
              </w:rPr>
              <w:t>WHAT A STRONG ANSWER CONTAINS</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Understanding of the brief</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Section 12.1 restates the scope accurately; assumptions are specific rather than boilerplate</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Content migration approach</w:t>
            </w:r>
          </w:p>
        </w:tc>
        <w:tc>
          <w:tcPr>
            <w:tcW w:type="dxa" w:w="964"/>
            <w:tcBorders>
              <w:top w:val="nil"/>
              <w:left w:val="nil"/>
              <w:bottom w:val="single" w:sz="4" w:color="D9D9D9"/>
              <w:right w:val="nil"/>
            </w:tcBorders>
          </w:tcPr>
          <w:p>
            <w:pPr>
              <w:spacing w:after="60" w:before="60"/>
            </w:pPr>
            <w:r/>
            <w:r>
              <w:rPr>
                <w:rFonts w:ascii="Arial" w:hAnsi="Arial"/>
                <w:color w:val="14110F"/>
                <w:sz w:val="18"/>
              </w:rPr>
              <w:t>20%</w:t>
            </w:r>
          </w:p>
        </w:tc>
        <w:tc>
          <w:tcPr>
            <w:tcW w:type="dxa" w:w="5590"/>
            <w:tcBorders>
              <w:top w:val="nil"/>
              <w:left w:val="nil"/>
              <w:bottom w:val="single" w:sz="4" w:color="D9D9D9"/>
              <w:right w:val="nil"/>
            </w:tcBorders>
          </w:tcPr>
          <w:p>
            <w:pPr>
              <w:spacing w:after="60" w:before="60"/>
            </w:pPr>
            <w:r/>
            <w:r>
              <w:rPr>
                <w:rFonts w:ascii="Arial" w:hAnsi="Arial"/>
                <w:color w:val="14110F"/>
                <w:sz w:val="18"/>
              </w:rPr>
              <w:t>A named pipeline, a stated automatic/manual split with a basis, and an operational verification step</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Integration approach</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Priced per integration; names what is needed from each system owner and by when</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Redirects and search continuity</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Sources for the URL inventory, where redirects execute, monitoring after cutover, a retention commitment</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Editorial workflow fit</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Answers 16.2 and 16.7 concretely; shows the mechanism rather than asserting the capability</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Cutover and rollback</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An hour-by-hour runbook, a rehearsal, and a rollback trigger with a named decision maker</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Training and hypercare</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Training timed close to go-live; a handover pack that supports operating without the vendor</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Team and references</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Named people with allocations; a candid answer to 21.9</w:t>
            </w:r>
          </w:p>
        </w:tc>
      </w:tr>
      <w:tr>
        <w:trPr>
          <w:cantSplit/>
        </w:trPr>
        <w:tc>
          <w:tcPr>
            <w:tcW w:type="dxa" w:w="3084"/>
            <w:tcBorders>
              <w:top w:val="nil"/>
              <w:left w:val="nil"/>
              <w:bottom w:val="single" w:sz="4" w:color="D9D9D9"/>
              <w:right w:val="nil"/>
            </w:tcBorders>
          </w:tcPr>
          <w:p>
            <w:pPr>
              <w:spacing w:after="60" w:before="60"/>
            </w:pPr>
            <w:r/>
            <w:r>
              <w:rPr>
                <w:rFonts w:ascii="Arial" w:hAnsi="Arial"/>
                <w:color w:val="14110F"/>
                <w:sz w:val="18"/>
              </w:rPr>
              <w:t>Commercials</w:t>
            </w:r>
          </w:p>
        </w:tc>
        <w:tc>
          <w:tcPr>
            <w:tcW w:type="dxa" w:w="964"/>
            <w:tcBorders>
              <w:top w:val="nil"/>
              <w:left w:val="nil"/>
              <w:bottom w:val="single" w:sz="4" w:color="D9D9D9"/>
              <w:right w:val="nil"/>
            </w:tcBorders>
          </w:tcPr>
          <w:p>
            <w:pPr>
              <w:spacing w:after="60" w:before="60"/>
            </w:pPr>
            <w:r/>
            <w:r>
              <w:rPr>
                <w:rFonts w:ascii="Arial" w:hAnsi="Arial"/>
                <w:color w:val="14110F"/>
                <w:sz w:val="18"/>
              </w:rPr>
              <w:t>10%</w:t>
            </w:r>
          </w:p>
        </w:tc>
        <w:tc>
          <w:tcPr>
            <w:tcW w:type="dxa" w:w="5590"/>
            <w:tcBorders>
              <w:top w:val="nil"/>
              <w:left w:val="nil"/>
              <w:bottom w:val="single" w:sz="4" w:color="D9D9D9"/>
              <w:right w:val="nil"/>
            </w:tcBorders>
          </w:tcPr>
          <w:p>
            <w:pPr>
              <w:spacing w:after="60" w:before="60"/>
            </w:pPr>
            <w:r/>
            <w:r>
              <w:rPr>
                <w:rFonts w:ascii="Arial" w:hAnsi="Arial"/>
                <w:color w:val="14110F"/>
                <w:sz w:val="18"/>
              </w:rPr>
              <w:t>A complete schedule, a three-year run cost, and a change-request process with a price</w:t>
            </w:r>
          </w:p>
        </w:tc>
      </w:tr>
    </w:tbl>
    <w:p>
      <w:pPr>
        <w:spacing w:after="80"/>
      </w:pPr>
    </w:p>
    <w:p>
      <w:pPr>
        <w:ind w:left="317"/>
      </w:pPr>
      <w:r>
        <w:rPr>
          <w:rFonts w:ascii="Arial" w:hAnsi="Arial"/>
          <w:i/>
          <w:color w:val="3F3F46"/>
          <w:sz w:val="20"/>
        </w:rPr>
        <w:t>The example weights total 100%. Adjust them to your situation and say so in the brief. A project against a hard end-of-life date might move weight to cutover and hypercare. A project whose trigger was an editorial bottleneck should carry more on workflow fit.</w:t>
      </w:r>
    </w:p>
    <w:p>
      <w:r>
        <w:rPr>
          <w:rFonts w:ascii="Arial" w:hAnsi="Arial"/>
          <w:b/>
          <w:color w:val="14110F"/>
          <w:sz w:val="22"/>
        </w:rPr>
        <w:t>Scoring guidance.</w:t>
      </w:r>
      <w:r>
        <w:rPr>
          <w:rFonts w:ascii="Arial" w:hAnsi="Arial"/>
          <w:color w:val="14110F"/>
          <w:sz w:val="22"/>
        </w:rPr>
        <w:t xml:space="preserve"> Score each criterion 0–5.</w:t>
      </w:r>
    </w:p>
    <w:tbl>
      <w:tblPr>
        <w:tblW w:type="auto" w:w="0"/>
        <w:jc w:val="left"/>
        <w:tblLayout w:type="fixed"/>
        <w:tblLook w:firstColumn="1" w:firstRow="1" w:lastColumn="0" w:lastRow="0" w:noHBand="0" w:noVBand="1" w:val="04A0"/>
      </w:tblPr>
      <w:tblGrid>
        <w:gridCol w:w="1157"/>
        <w:gridCol w:w="8481"/>
      </w:tblGrid>
      <w:tr>
        <w:trPr>
          <w:tblHeader/>
        </w:trPr>
        <w:tc>
          <w:tcPr>
            <w:tcW w:type="dxa" w:w="1157"/>
            <w:tcBorders>
              <w:top w:val="nil"/>
              <w:left w:val="nil"/>
              <w:bottom w:val="single" w:sz="8" w:color="14110F"/>
              <w:right w:val="nil"/>
            </w:tcBorders>
          </w:tcPr>
          <w:p>
            <w:pPr>
              <w:keepNext/>
              <w:spacing w:after="60" w:before="60"/>
            </w:pPr>
            <w:r/>
            <w:r>
              <w:rPr>
                <w:rFonts w:ascii="Arial" w:hAnsi="Arial"/>
                <w:b/>
                <w:color w:val="FC0396"/>
                <w:sz w:val="15"/>
              </w:rPr>
              <w:t>SCORE</w:t>
            </w:r>
          </w:p>
        </w:tc>
        <w:tc>
          <w:tcPr>
            <w:tcW w:type="dxa" w:w="8481"/>
            <w:tcBorders>
              <w:top w:val="nil"/>
              <w:left w:val="nil"/>
              <w:bottom w:val="single" w:sz="8" w:color="14110F"/>
              <w:right w:val="nil"/>
            </w:tcBorders>
          </w:tcPr>
          <w:p>
            <w:pPr>
              <w:keepNext/>
              <w:spacing w:after="60" w:before="60"/>
            </w:pPr>
            <w:r/>
            <w:r>
              <w:rPr>
                <w:rFonts w:ascii="Arial" w:hAnsi="Arial"/>
                <w:b/>
                <w:color w:val="FC0396"/>
                <w:sz w:val="15"/>
              </w:rPr>
              <w:t>MEANING</w:t>
            </w:r>
          </w:p>
        </w:tc>
      </w:tr>
      <w:tr>
        <w:trPr>
          <w:cantSplit/>
        </w:trPr>
        <w:tc>
          <w:tcPr>
            <w:tcW w:type="dxa" w:w="1157"/>
            <w:tcBorders>
              <w:top w:val="nil"/>
              <w:left w:val="nil"/>
              <w:bottom w:val="single" w:sz="4" w:color="D9D9D9"/>
              <w:right w:val="nil"/>
            </w:tcBorders>
          </w:tcPr>
          <w:p>
            <w:pPr>
              <w:spacing w:after="60" w:before="60"/>
            </w:pPr>
            <w:r/>
            <w:r>
              <w:rPr>
                <w:rFonts w:ascii="Arial" w:hAnsi="Arial"/>
                <w:color w:val="14110F"/>
                <w:sz w:val="18"/>
              </w:rPr>
              <w:t>5</w:t>
            </w:r>
          </w:p>
        </w:tc>
        <w:tc>
          <w:tcPr>
            <w:tcW w:type="dxa" w:w="8481"/>
            <w:tcBorders>
              <w:top w:val="nil"/>
              <w:left w:val="nil"/>
              <w:bottom w:val="single" w:sz="4" w:color="D9D9D9"/>
              <w:right w:val="nil"/>
            </w:tcBorders>
          </w:tcPr>
          <w:p>
            <w:pPr>
              <w:spacing w:after="60" w:before="60"/>
            </w:pPr>
            <w:r/>
            <w:r>
              <w:rPr>
                <w:rFonts w:ascii="Arial" w:hAnsi="Arial"/>
                <w:color w:val="14110F"/>
                <w:sz w:val="18"/>
              </w:rPr>
              <w:t>Meets the requirement with specific evidence and a credible method for the stated risks</w:t>
            </w:r>
          </w:p>
        </w:tc>
      </w:tr>
      <w:tr>
        <w:trPr>
          <w:cantSplit/>
        </w:trPr>
        <w:tc>
          <w:tcPr>
            <w:tcW w:type="dxa" w:w="1157"/>
            <w:tcBorders>
              <w:top w:val="nil"/>
              <w:left w:val="nil"/>
              <w:bottom w:val="single" w:sz="4" w:color="D9D9D9"/>
              <w:right w:val="nil"/>
            </w:tcBorders>
          </w:tcPr>
          <w:p>
            <w:pPr>
              <w:spacing w:after="60" w:before="60"/>
            </w:pPr>
            <w:r/>
            <w:r>
              <w:rPr>
                <w:rFonts w:ascii="Arial" w:hAnsi="Arial"/>
                <w:color w:val="14110F"/>
                <w:sz w:val="18"/>
              </w:rPr>
              <w:t>4</w:t>
            </w:r>
          </w:p>
        </w:tc>
        <w:tc>
          <w:tcPr>
            <w:tcW w:type="dxa" w:w="8481"/>
            <w:tcBorders>
              <w:top w:val="nil"/>
              <w:left w:val="nil"/>
              <w:bottom w:val="single" w:sz="4" w:color="D9D9D9"/>
              <w:right w:val="nil"/>
            </w:tcBorders>
          </w:tcPr>
          <w:p>
            <w:pPr>
              <w:spacing w:after="60" w:before="60"/>
            </w:pPr>
            <w:r/>
            <w:r>
              <w:rPr>
                <w:rFonts w:ascii="Arial" w:hAnsi="Arial"/>
                <w:color w:val="14110F"/>
                <w:sz w:val="18"/>
              </w:rPr>
              <w:t>Meets the requirement with evidence; minor clarifications remain</w:t>
            </w:r>
          </w:p>
        </w:tc>
      </w:tr>
      <w:tr>
        <w:trPr>
          <w:cantSplit/>
        </w:trPr>
        <w:tc>
          <w:tcPr>
            <w:tcW w:type="dxa" w:w="1157"/>
            <w:tcBorders>
              <w:top w:val="nil"/>
              <w:left w:val="nil"/>
              <w:bottom w:val="single" w:sz="4" w:color="D9D9D9"/>
              <w:right w:val="nil"/>
            </w:tcBorders>
          </w:tcPr>
          <w:p>
            <w:pPr>
              <w:spacing w:after="60" w:before="60"/>
            </w:pPr>
            <w:r/>
            <w:r>
              <w:rPr>
                <w:rFonts w:ascii="Arial" w:hAnsi="Arial"/>
                <w:color w:val="14110F"/>
                <w:sz w:val="18"/>
              </w:rPr>
              <w:t>3</w:t>
            </w:r>
          </w:p>
        </w:tc>
        <w:tc>
          <w:tcPr>
            <w:tcW w:type="dxa" w:w="8481"/>
            <w:tcBorders>
              <w:top w:val="nil"/>
              <w:left w:val="nil"/>
              <w:bottom w:val="single" w:sz="4" w:color="D9D9D9"/>
              <w:right w:val="nil"/>
            </w:tcBorders>
          </w:tcPr>
          <w:p>
            <w:pPr>
              <w:spacing w:after="60" w:before="60"/>
            </w:pPr>
            <w:r/>
            <w:r>
              <w:rPr>
                <w:rFonts w:ascii="Arial" w:hAnsi="Arial"/>
                <w:color w:val="14110F"/>
                <w:sz w:val="18"/>
              </w:rPr>
              <w:t>Addresses the requirement, with limited evidence or unresolved assumptions</w:t>
            </w:r>
          </w:p>
        </w:tc>
      </w:tr>
      <w:tr>
        <w:trPr>
          <w:cantSplit/>
        </w:trPr>
        <w:tc>
          <w:tcPr>
            <w:tcW w:type="dxa" w:w="1157"/>
            <w:tcBorders>
              <w:top w:val="nil"/>
              <w:left w:val="nil"/>
              <w:bottom w:val="single" w:sz="4" w:color="D9D9D9"/>
              <w:right w:val="nil"/>
            </w:tcBorders>
          </w:tcPr>
          <w:p>
            <w:pPr>
              <w:spacing w:after="60" w:before="60"/>
            </w:pPr>
            <w:r/>
            <w:r>
              <w:rPr>
                <w:rFonts w:ascii="Arial" w:hAnsi="Arial"/>
                <w:color w:val="14110F"/>
                <w:sz w:val="18"/>
              </w:rPr>
              <w:t>2</w:t>
            </w:r>
          </w:p>
        </w:tc>
        <w:tc>
          <w:tcPr>
            <w:tcW w:type="dxa" w:w="8481"/>
            <w:tcBorders>
              <w:top w:val="nil"/>
              <w:left w:val="nil"/>
              <w:bottom w:val="single" w:sz="4" w:color="D9D9D9"/>
              <w:right w:val="nil"/>
            </w:tcBorders>
          </w:tcPr>
          <w:p>
            <w:pPr>
              <w:spacing w:after="60" w:before="60"/>
            </w:pPr>
            <w:r/>
            <w:r>
              <w:rPr>
                <w:rFonts w:ascii="Arial" w:hAnsi="Arial"/>
                <w:color w:val="14110F"/>
                <w:sz w:val="18"/>
              </w:rPr>
              <w:t>Partially addresses the requirement; material gaps remain</w:t>
            </w:r>
          </w:p>
        </w:tc>
      </w:tr>
      <w:tr>
        <w:trPr>
          <w:cantSplit/>
        </w:trPr>
        <w:tc>
          <w:tcPr>
            <w:tcW w:type="dxa" w:w="1157"/>
            <w:tcBorders>
              <w:top w:val="nil"/>
              <w:left w:val="nil"/>
              <w:bottom w:val="single" w:sz="4" w:color="D9D9D9"/>
              <w:right w:val="nil"/>
            </w:tcBorders>
          </w:tcPr>
          <w:p>
            <w:pPr>
              <w:spacing w:after="60" w:before="60"/>
            </w:pPr>
            <w:r/>
            <w:r>
              <w:rPr>
                <w:rFonts w:ascii="Arial" w:hAnsi="Arial"/>
                <w:color w:val="14110F"/>
                <w:sz w:val="18"/>
              </w:rPr>
              <w:t>1</w:t>
            </w:r>
          </w:p>
        </w:tc>
        <w:tc>
          <w:tcPr>
            <w:tcW w:type="dxa" w:w="8481"/>
            <w:tcBorders>
              <w:top w:val="nil"/>
              <w:left w:val="nil"/>
              <w:bottom w:val="single" w:sz="4" w:color="D9D9D9"/>
              <w:right w:val="nil"/>
            </w:tcBorders>
          </w:tcPr>
          <w:p>
            <w:pPr>
              <w:spacing w:after="60" w:before="60"/>
            </w:pPr>
            <w:r/>
            <w:r>
              <w:rPr>
                <w:rFonts w:ascii="Arial" w:hAnsi="Arial"/>
                <w:color w:val="14110F"/>
                <w:sz w:val="18"/>
              </w:rPr>
              <w:t>Asserts capability without a method or evidence</w:t>
            </w:r>
          </w:p>
        </w:tc>
      </w:tr>
      <w:tr>
        <w:trPr>
          <w:cantSplit/>
        </w:trPr>
        <w:tc>
          <w:tcPr>
            <w:tcW w:type="dxa" w:w="1157"/>
            <w:tcBorders>
              <w:top w:val="nil"/>
              <w:left w:val="nil"/>
              <w:bottom w:val="single" w:sz="4" w:color="D9D9D9"/>
              <w:right w:val="nil"/>
            </w:tcBorders>
          </w:tcPr>
          <w:p>
            <w:pPr>
              <w:spacing w:after="60" w:before="60"/>
            </w:pPr>
            <w:r/>
            <w:r>
              <w:rPr>
                <w:rFonts w:ascii="Arial" w:hAnsi="Arial"/>
                <w:color w:val="14110F"/>
                <w:sz w:val="18"/>
              </w:rPr>
              <w:t>0</w:t>
            </w:r>
          </w:p>
        </w:tc>
        <w:tc>
          <w:tcPr>
            <w:tcW w:type="dxa" w:w="8481"/>
            <w:tcBorders>
              <w:top w:val="nil"/>
              <w:left w:val="nil"/>
              <w:bottom w:val="single" w:sz="4" w:color="D9D9D9"/>
              <w:right w:val="nil"/>
            </w:tcBorders>
          </w:tcPr>
          <w:p>
            <w:pPr>
              <w:spacing w:after="60" w:before="60"/>
            </w:pPr>
            <w:r/>
            <w:r>
              <w:rPr>
                <w:rFonts w:ascii="Arial" w:hAnsi="Arial"/>
                <w:color w:val="14110F"/>
                <w:sz w:val="18"/>
              </w:rPr>
              <w:t>Not addressed</w:t>
            </w:r>
          </w:p>
        </w:tc>
      </w:tr>
    </w:tbl>
    <w:p>
      <w:pPr>
        <w:spacing w:after="80"/>
      </w:pPr>
    </w:p>
    <w:p>
      <w:r>
        <w:rPr>
          <w:rFonts w:ascii="Arial" w:hAnsi="Arial"/>
          <w:b/>
          <w:color w:val="14110F"/>
          <w:sz w:val="22"/>
        </w:rPr>
        <w:t>Calculation.</w:t>
      </w:r>
      <w:r>
        <w:rPr>
          <w:rFonts w:ascii="Arial" w:hAnsi="Arial"/>
          <w:color w:val="14110F"/>
          <w:sz w:val="22"/>
        </w:rPr>
        <w:t xml:space="preserve"> Weighted points = score / 5 × weight in percentage points. For example, 4/5 on content migration at a 20% weight earns 16 points. Add all weighted points for a total out of 100. Leave a score blank until it has been assessed; use 0 only when the answer has been assessed as not addressed. The companion workbook withholds totals until all scores are entered and the weights total 100%.</w:t>
      </w:r>
    </w:p>
    <w:p>
      <w:pPr>
        <w:pStyle w:val="Heading2"/>
        <w:keepNext/>
        <w:spacing w:before="400" w:after="120"/>
      </w:pPr>
      <w:r>
        <w:rPr>
          <w:b/>
          <w:color w:val="FC0396"/>
          <w:sz w:val="30"/>
        </w:rPr>
        <w:t xml:space="preserve">25   </w:t>
      </w:r>
      <w:r>
        <w:rPr>
          <w:b/>
          <w:color w:val="14110F"/>
          <w:sz w:val="30"/>
        </w:rPr>
        <w:t>Red flags</w:t>
      </w:r>
    </w:p>
    <w:p>
      <w:pPr>
        <w:ind w:left="317"/>
      </w:pPr>
      <w:r>
        <w:rPr>
          <w:rFonts w:ascii="Arial" w:hAnsi="Arial"/>
          <w:i/>
          <w:color w:val="3F3F46"/>
          <w:sz w:val="20"/>
        </w:rPr>
        <w:t>Record these as clarification questions. Assess the answer and evidence before deciding whether the gap affects eligibility, price or score.</w:t>
      </w:r>
    </w:p>
    <w:p>
      <w:pPr>
        <w:pStyle w:val="ListBullet"/>
        <w:spacing w:after="60"/>
      </w:pPr>
      <w:r>
        <w:rPr>
          <w:rFonts w:ascii="Arial" w:hAnsi="Arial"/>
          <w:color w:val="14110F"/>
          <w:sz w:val="22"/>
        </w:rPr>
        <w:t>The response restates your brief back to you without adding a single question, assumption, or constraint of its own.</w:t>
      </w:r>
    </w:p>
    <w:p>
      <w:pPr>
        <w:pStyle w:val="ListBullet"/>
        <w:spacing w:after="60"/>
      </w:pPr>
      <w:r>
        <w:rPr>
          <w:rFonts w:ascii="Arial" w:hAnsi="Arial"/>
          <w:color w:val="14110F"/>
          <w:sz w:val="22"/>
        </w:rPr>
        <w:t>Migration is described as an export and an import, with no transformation step.</w:t>
      </w:r>
    </w:p>
    <w:p>
      <w:pPr>
        <w:pStyle w:val="ListBullet"/>
        <w:spacing w:after="60"/>
      </w:pPr>
      <w:r>
        <w:rPr>
          <w:rFonts w:ascii="Arial" w:hAnsi="Arial"/>
          <w:color w:val="14110F"/>
          <w:sz w:val="22"/>
        </w:rPr>
        <w:t>No verification step comparing migrated content against the original.</w:t>
      </w:r>
    </w:p>
    <w:p>
      <w:pPr>
        <w:pStyle w:val="ListBullet"/>
        <w:spacing w:after="60"/>
      </w:pPr>
      <w:r>
        <w:rPr>
          <w:rFonts w:ascii="Arial" w:hAnsi="Arial"/>
          <w:color w:val="14110F"/>
          <w:sz w:val="22"/>
        </w:rPr>
        <w:t>Redirects appear once, in a bullet list, with no owner and no method.</w:t>
      </w:r>
    </w:p>
    <w:p>
      <w:pPr>
        <w:pStyle w:val="ListBullet"/>
        <w:spacing w:after="60"/>
      </w:pPr>
      <w:r>
        <w:rPr>
          <w:rFonts w:ascii="Arial" w:hAnsi="Arial"/>
          <w:color w:val="14110F"/>
          <w:sz w:val="22"/>
        </w:rPr>
        <w:t>The price leaves uncertainty unallocated and states no assumptions.</w:t>
      </w:r>
    </w:p>
    <w:p>
      <w:pPr>
        <w:pStyle w:val="ListBullet"/>
        <w:spacing w:after="60"/>
      </w:pPr>
      <w:r>
        <w:rPr>
          <w:rFonts w:ascii="Arial" w:hAnsi="Arial"/>
          <w:color w:val="14110F"/>
          <w:sz w:val="22"/>
        </w:rPr>
        <w:t>Accessibility appears as a claim rather than a conformance level and a verification method.</w:t>
      </w:r>
    </w:p>
    <w:p>
      <w:pPr>
        <w:pStyle w:val="ListBullet"/>
        <w:spacing w:after="60"/>
      </w:pPr>
      <w:r>
        <w:rPr>
          <w:rFonts w:ascii="Arial" w:hAnsi="Arial"/>
          <w:color w:val="14110F"/>
          <w:sz w:val="22"/>
        </w:rPr>
        <w:t>The named team in the response is not the team in the presentation.</w:t>
      </w:r>
    </w:p>
    <w:p>
      <w:pPr>
        <w:pStyle w:val="ListBullet"/>
        <w:spacing w:after="60"/>
      </w:pPr>
      <w:r>
        <w:rPr>
          <w:rFonts w:ascii="Arial" w:hAnsi="Arial"/>
          <w:color w:val="14110F"/>
          <w:sz w:val="22"/>
        </w:rPr>
        <w:t>Hypercare means a support inbox with no response targets.</w:t>
      </w:r>
    </w:p>
    <w:p>
      <w:pPr>
        <w:pStyle w:val="ListBullet"/>
        <w:spacing w:after="60"/>
      </w:pPr>
      <w:r>
        <w:rPr>
          <w:rFonts w:ascii="Arial" w:hAnsi="Arial"/>
          <w:color w:val="14110F"/>
          <w:sz w:val="22"/>
        </w:rPr>
        <w:t>The three-year run cost is missing, or arrives as "depends on usage" with no model.</w:t>
      </w:r>
    </w:p>
    <w:p>
      <w:pPr>
        <w:pStyle w:val="ListBullet"/>
        <w:spacing w:after="60"/>
      </w:pPr>
      <w:r>
        <w:rPr>
          <w:rFonts w:ascii="Arial" w:hAnsi="Arial"/>
          <w:color w:val="14110F"/>
          <w:sz w:val="22"/>
        </w:rPr>
        <w:t>Exit terms are absent, or the vendor retains rights to something you depend on.</w:t>
      </w:r>
    </w:p>
    <w:p>
      <w:pPr>
        <w:pStyle w:val="ListBullet"/>
        <w:spacing w:after="60"/>
      </w:pPr>
      <w:r>
        <w:rPr>
          <w:rFonts w:ascii="Arial" w:hAnsi="Arial"/>
          <w:color w:val="14110F"/>
          <w:sz w:val="22"/>
        </w:rPr>
        <w:t>The reference projects do not demonstrate the complexity required here.</w:t>
      </w:r>
    </w:p>
    <w:p>
      <w:pPr>
        <w:pStyle w:val="ListBullet"/>
        <w:spacing w:after="60"/>
      </w:pPr>
      <w:r>
        <w:rPr>
          <w:rFonts w:ascii="Arial" w:hAnsi="Arial"/>
          <w:color w:val="14110F"/>
          <w:sz w:val="22"/>
        </w:rPr>
        <w:t>Experience claims arrive without an example or supporting evidence.</w:t>
      </w:r>
    </w:p>
    <w:p>
      <w:pPr>
        <w:pStyle w:val="Heading2"/>
        <w:keepNext/>
        <w:spacing w:before="400" w:after="120"/>
      </w:pPr>
      <w:r>
        <w:rPr>
          <w:b/>
          <w:color w:val="FC0396"/>
          <w:sz w:val="30"/>
        </w:rPr>
        <w:t xml:space="preserve">26   </w:t>
      </w:r>
      <w:r>
        <w:rPr>
          <w:b/>
          <w:color w:val="14110F"/>
          <w:sz w:val="30"/>
        </w:rPr>
        <w:t>RFP process timeline</w:t>
      </w:r>
    </w:p>
    <w:p>
      <w:pPr>
        <w:ind w:left="317"/>
      </w:pPr>
      <w:r>
        <w:rPr>
          <w:rFonts w:ascii="Arial" w:hAnsi="Arial"/>
          <w:i/>
          <w:color w:val="3F3F46"/>
          <w:sz w:val="20"/>
        </w:rPr>
        <w:t>Illustrative working-day schedule. Adapt dates to your procurement route, required notice periods, complexity and bidder access. Confirm response time with procurement before publishing the RFP.</w:t>
      </w:r>
    </w:p>
    <w:tbl>
      <w:tblPr>
        <w:tblW w:type="auto" w:w="0"/>
        <w:jc w:val="left"/>
        <w:tblLayout w:type="fixed"/>
        <w:tblLook w:firstColumn="1" w:firstRow="1" w:lastColumn="0" w:lastRow="0" w:noHBand="0" w:noVBand="1" w:val="04A0"/>
      </w:tblPr>
      <w:tblGrid>
        <w:gridCol w:w="3213"/>
        <w:gridCol w:w="3213"/>
        <w:gridCol w:w="3213"/>
      </w:tblGrid>
      <w:tr>
        <w:trPr>
          <w:tblHeader/>
        </w:trPr>
        <w:tc>
          <w:tcPr>
            <w:tcW w:type="dxa" w:w="3213"/>
            <w:tcBorders>
              <w:top w:val="nil"/>
              <w:left w:val="nil"/>
              <w:bottom w:val="single" w:sz="8" w:color="14110F"/>
              <w:right w:val="nil"/>
            </w:tcBorders>
          </w:tcPr>
          <w:p>
            <w:pPr>
              <w:keepNext/>
              <w:spacing w:after="60" w:before="60"/>
            </w:pPr>
            <w:r/>
            <w:r>
              <w:rPr>
                <w:rFonts w:ascii="Arial" w:hAnsi="Arial"/>
                <w:b/>
                <w:color w:val="FC0396"/>
                <w:sz w:val="15"/>
              </w:rPr>
              <w:t>STAGE</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WORKING DAYS</w:t>
            </w:r>
          </w:p>
        </w:tc>
        <w:tc>
          <w:tcPr>
            <w:tcW w:type="dxa" w:w="3213"/>
            <w:tcBorders>
              <w:top w:val="nil"/>
              <w:left w:val="nil"/>
              <w:bottom w:val="single" w:sz="8" w:color="14110F"/>
              <w:right w:val="nil"/>
            </w:tcBorders>
          </w:tcPr>
          <w:p>
            <w:pPr>
              <w:keepNext/>
              <w:spacing w:after="60" w:before="60"/>
            </w:pPr>
            <w:r/>
            <w:r>
              <w:rPr>
                <w:rFonts w:ascii="Arial" w:hAnsi="Arial"/>
                <w:b/>
                <w:color w:val="FC0396"/>
                <w:sz w:val="15"/>
              </w:rPr>
              <w:t>NOTES</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Brief finalised internally</w:t>
            </w:r>
          </w:p>
        </w:tc>
        <w:tc>
          <w:tcPr>
            <w:tcW w:type="dxa" w:w="3213"/>
            <w:tcBorders>
              <w:top w:val="nil"/>
              <w:left w:val="nil"/>
              <w:bottom w:val="single" w:sz="4" w:color="D9D9D9"/>
              <w:right w:val="nil"/>
            </w:tcBorders>
          </w:tcPr>
          <w:p>
            <w:pPr>
              <w:spacing w:after="60" w:before="60"/>
            </w:pPr>
            <w:r/>
            <w:r>
              <w:rPr>
                <w:rFonts w:ascii="Arial" w:hAnsi="Arial"/>
                <w:color w:val="14110F"/>
                <w:sz w:val="18"/>
              </w:rPr>
              <w:t>—</w:t>
            </w:r>
          </w:p>
        </w:tc>
        <w:tc>
          <w:tcPr>
            <w:tcW w:type="dxa" w:w="3213"/>
            <w:tcBorders>
              <w:top w:val="nil"/>
              <w:left w:val="nil"/>
              <w:bottom w:val="single" w:sz="4" w:color="D9D9D9"/>
              <w:right w:val="nil"/>
            </w:tcBorders>
          </w:tcPr>
          <w:p>
            <w:pPr>
              <w:spacing w:after="60" w:before="60"/>
            </w:pPr>
            <w:r/>
            <w:r>
              <w:rPr>
                <w:rFonts w:ascii="Arial" w:hAnsi="Arial"/>
                <w:color w:val="14110F"/>
                <w:sz w:val="18"/>
              </w:rPr>
              <w:t>Parts 1 and 3 complete before issue</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RFP issued</w:t>
            </w:r>
          </w:p>
        </w:tc>
        <w:tc>
          <w:tcPr>
            <w:tcW w:type="dxa" w:w="3213"/>
            <w:tcBorders>
              <w:top w:val="nil"/>
              <w:left w:val="nil"/>
              <w:bottom w:val="single" w:sz="4" w:color="D9D9D9"/>
              <w:right w:val="nil"/>
            </w:tcBorders>
          </w:tcPr>
          <w:p>
            <w:pPr>
              <w:spacing w:after="60" w:before="60"/>
            </w:pPr>
            <w:r/>
            <w:r>
              <w:rPr>
                <w:rFonts w:ascii="Arial" w:hAnsi="Arial"/>
                <w:color w:val="14110F"/>
                <w:sz w:val="18"/>
              </w:rPr>
              <w:t>Day 0</w:t>
            </w:r>
          </w:p>
        </w:tc>
        <w:tc>
          <w:tcPr>
            <w:tcW w:type="dxa" w:w="3213"/>
            <w:tcBorders>
              <w:top w:val="nil"/>
              <w:left w:val="nil"/>
              <w:bottom w:val="single" w:sz="4" w:color="D9D9D9"/>
              <w:right w:val="nil"/>
            </w:tcBorders>
          </w:tcPr>
          <w:p>
            <w:pPr>
              <w:spacing w:after="60" w:before="60"/>
            </w:pPr>
            <w:r/>
            <w:r>
              <w:rPr>
                <w:rFonts w:ascii="Arial" w:hAnsi="Arial"/>
                <w:color w:val="14110F"/>
                <w:sz w:val="18"/>
              </w:rPr>
              <w:t>Use the procurement route agreed for this organisation</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Vendor questions open</w:t>
            </w:r>
          </w:p>
        </w:tc>
        <w:tc>
          <w:tcPr>
            <w:tcW w:type="dxa" w:w="3213"/>
            <w:tcBorders>
              <w:top w:val="nil"/>
              <w:left w:val="nil"/>
              <w:bottom w:val="single" w:sz="4" w:color="D9D9D9"/>
              <w:right w:val="nil"/>
            </w:tcBorders>
          </w:tcPr>
          <w:p>
            <w:pPr>
              <w:spacing w:after="60" w:before="60"/>
            </w:pPr>
            <w:r/>
            <w:r>
              <w:rPr>
                <w:rFonts w:ascii="Arial" w:hAnsi="Arial"/>
                <w:color w:val="14110F"/>
                <w:sz w:val="18"/>
              </w:rPr>
              <w:t>Days 1–7</w:t>
            </w:r>
          </w:p>
        </w:tc>
        <w:tc>
          <w:tcPr>
            <w:tcW w:type="dxa" w:w="3213"/>
            <w:tcBorders>
              <w:top w:val="nil"/>
              <w:left w:val="nil"/>
              <w:bottom w:val="single" w:sz="4" w:color="D9D9D9"/>
              <w:right w:val="nil"/>
            </w:tcBorders>
          </w:tcPr>
          <w:p>
            <w:pPr>
              <w:spacing w:after="60" w:before="60"/>
            </w:pPr>
            <w:r/>
            <w:r>
              <w:rPr>
                <w:rFonts w:ascii="Arial" w:hAnsi="Arial"/>
                <w:color w:val="14110F"/>
                <w:sz w:val="18"/>
              </w:rPr>
              <w:t>Single channel</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Answers circulated to all bidders</w:t>
            </w:r>
          </w:p>
        </w:tc>
        <w:tc>
          <w:tcPr>
            <w:tcW w:type="dxa" w:w="3213"/>
            <w:tcBorders>
              <w:top w:val="nil"/>
              <w:left w:val="nil"/>
              <w:bottom w:val="single" w:sz="4" w:color="D9D9D9"/>
              <w:right w:val="nil"/>
            </w:tcBorders>
          </w:tcPr>
          <w:p>
            <w:pPr>
              <w:spacing w:after="60" w:before="60"/>
            </w:pPr>
            <w:r/>
            <w:r>
              <w:rPr>
                <w:rFonts w:ascii="Arial" w:hAnsi="Arial"/>
                <w:color w:val="14110F"/>
                <w:sz w:val="18"/>
              </w:rPr>
              <w:t>Day 10</w:t>
            </w:r>
          </w:p>
        </w:tc>
        <w:tc>
          <w:tcPr>
            <w:tcW w:type="dxa" w:w="3213"/>
            <w:tcBorders>
              <w:top w:val="nil"/>
              <w:left w:val="nil"/>
              <w:bottom w:val="single" w:sz="4" w:color="D9D9D9"/>
              <w:right w:val="nil"/>
            </w:tcBorders>
          </w:tcPr>
          <w:p>
            <w:pPr>
              <w:spacing w:after="60" w:before="60"/>
            </w:pPr>
            <w:r/>
            <w:r>
              <w:rPr>
                <w:rFonts w:ascii="Arial" w:hAnsi="Arial"/>
                <w:color w:val="14110F"/>
                <w:sz w:val="18"/>
              </w:rPr>
              <w:t>Same answers to everyone</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Data-room access for shortlisted vendors</w:t>
            </w:r>
          </w:p>
        </w:tc>
        <w:tc>
          <w:tcPr>
            <w:tcW w:type="dxa" w:w="3213"/>
            <w:tcBorders>
              <w:top w:val="nil"/>
              <w:left w:val="nil"/>
              <w:bottom w:val="single" w:sz="4" w:color="D9D9D9"/>
              <w:right w:val="nil"/>
            </w:tcBorders>
          </w:tcPr>
          <w:p>
            <w:pPr>
              <w:spacing w:after="60" w:before="60"/>
            </w:pPr>
            <w:r/>
            <w:r>
              <w:rPr>
                <w:rFonts w:ascii="Arial" w:hAnsi="Arial"/>
                <w:color w:val="14110F"/>
                <w:sz w:val="18"/>
              </w:rPr>
              <w:t>Days 10–12</w:t>
            </w:r>
          </w:p>
        </w:tc>
        <w:tc>
          <w:tcPr>
            <w:tcW w:type="dxa" w:w="3213"/>
            <w:tcBorders>
              <w:top w:val="nil"/>
              <w:left w:val="nil"/>
              <w:bottom w:val="single" w:sz="4" w:color="D9D9D9"/>
              <w:right w:val="nil"/>
            </w:tcBorders>
          </w:tcPr>
          <w:p>
            <w:pPr>
              <w:spacing w:after="60" w:before="60"/>
            </w:pPr>
            <w:r/>
            <w:r>
              <w:rPr>
                <w:rFonts w:ascii="Arial" w:hAnsi="Arial"/>
                <w:color w:val="14110F"/>
                <w:sz w:val="18"/>
              </w:rPr>
              <w:t>Read-only CMS, sitemap, analytics export</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Responses due</w:t>
            </w:r>
          </w:p>
        </w:tc>
        <w:tc>
          <w:tcPr>
            <w:tcW w:type="dxa" w:w="3213"/>
            <w:tcBorders>
              <w:top w:val="nil"/>
              <w:left w:val="nil"/>
              <w:bottom w:val="single" w:sz="4" w:color="D9D9D9"/>
              <w:right w:val="nil"/>
            </w:tcBorders>
          </w:tcPr>
          <w:p>
            <w:pPr>
              <w:spacing w:after="60" w:before="60"/>
            </w:pPr>
            <w:r/>
            <w:r>
              <w:rPr>
                <w:rFonts w:ascii="Arial" w:hAnsi="Arial"/>
                <w:color w:val="14110F"/>
                <w:sz w:val="18"/>
              </w:rPr>
              <w:t>Day 25</w:t>
            </w:r>
          </w:p>
        </w:tc>
        <w:tc>
          <w:tcPr>
            <w:tcW w:type="dxa" w:w="3213"/>
            <w:tcBorders>
              <w:top w:val="nil"/>
              <w:left w:val="nil"/>
              <w:bottom w:val="single" w:sz="4" w:color="D9D9D9"/>
              <w:right w:val="nil"/>
            </w:tcBorders>
          </w:tcPr>
          <w:p>
            <w:pPr>
              <w:spacing w:after="60" w:before="60"/>
            </w:pPr>
            <w:r/>
            <w:r>
              <w:rPr>
                <w:rFonts w:ascii="Arial" w:hAnsi="Arial"/>
                <w:color w:val="14110F"/>
                <w:sz w:val="18"/>
              </w:rPr>
              <w:t>Confirm adequate response time with procurement and bidders</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Scoring</w:t>
            </w:r>
          </w:p>
        </w:tc>
        <w:tc>
          <w:tcPr>
            <w:tcW w:type="dxa" w:w="3213"/>
            <w:tcBorders>
              <w:top w:val="nil"/>
              <w:left w:val="nil"/>
              <w:bottom w:val="single" w:sz="4" w:color="D9D9D9"/>
              <w:right w:val="nil"/>
            </w:tcBorders>
          </w:tcPr>
          <w:p>
            <w:pPr>
              <w:spacing w:after="60" w:before="60"/>
            </w:pPr>
            <w:r/>
            <w:r>
              <w:rPr>
                <w:rFonts w:ascii="Arial" w:hAnsi="Arial"/>
                <w:color w:val="14110F"/>
                <w:sz w:val="18"/>
              </w:rPr>
              <w:t>Days 26–32</w:t>
            </w:r>
          </w:p>
        </w:tc>
        <w:tc>
          <w:tcPr>
            <w:tcW w:type="dxa" w:w="3213"/>
            <w:tcBorders>
              <w:top w:val="nil"/>
              <w:left w:val="nil"/>
              <w:bottom w:val="single" w:sz="4" w:color="D9D9D9"/>
              <w:right w:val="nil"/>
            </w:tcBorders>
          </w:tcPr>
          <w:p>
            <w:pPr>
              <w:spacing w:after="60" w:before="60"/>
            </w:pPr>
            <w:r/>
            <w:r>
              <w:rPr>
                <w:rFonts w:ascii="Arial" w:hAnsi="Arial"/>
                <w:color w:val="14110F"/>
                <w:sz w:val="18"/>
              </w:rPr>
              <w:t>Score independently, then reconcile</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Presentations</w:t>
            </w:r>
          </w:p>
        </w:tc>
        <w:tc>
          <w:tcPr>
            <w:tcW w:type="dxa" w:w="3213"/>
            <w:tcBorders>
              <w:top w:val="nil"/>
              <w:left w:val="nil"/>
              <w:bottom w:val="single" w:sz="4" w:color="D9D9D9"/>
              <w:right w:val="nil"/>
            </w:tcBorders>
          </w:tcPr>
          <w:p>
            <w:pPr>
              <w:spacing w:after="60" w:before="60"/>
            </w:pPr>
            <w:r/>
            <w:r>
              <w:rPr>
                <w:rFonts w:ascii="Arial" w:hAnsi="Arial"/>
                <w:color w:val="14110F"/>
                <w:sz w:val="18"/>
              </w:rPr>
              <w:t>Days 33–40</w:t>
            </w:r>
          </w:p>
        </w:tc>
        <w:tc>
          <w:tcPr>
            <w:tcW w:type="dxa" w:w="3213"/>
            <w:tcBorders>
              <w:top w:val="nil"/>
              <w:left w:val="nil"/>
              <w:bottom w:val="single" w:sz="4" w:color="D9D9D9"/>
              <w:right w:val="nil"/>
            </w:tcBorders>
          </w:tcPr>
          <w:p>
            <w:pPr>
              <w:spacing w:after="60" w:before="60"/>
            </w:pPr>
            <w:r/>
            <w:r>
              <w:rPr>
                <w:rFonts w:ascii="Arial" w:hAnsi="Arial"/>
                <w:color w:val="14110F"/>
                <w:sz w:val="18"/>
              </w:rPr>
              <w:t>Ask for the named delivery lead in the room</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Clarifications</w:t>
            </w:r>
          </w:p>
        </w:tc>
        <w:tc>
          <w:tcPr>
            <w:tcW w:type="dxa" w:w="3213"/>
            <w:tcBorders>
              <w:top w:val="nil"/>
              <w:left w:val="nil"/>
              <w:bottom w:val="single" w:sz="4" w:color="D9D9D9"/>
              <w:right w:val="nil"/>
            </w:tcBorders>
          </w:tcPr>
          <w:p>
            <w:pPr>
              <w:spacing w:after="60" w:before="60"/>
            </w:pPr>
            <w:r/>
            <w:r>
              <w:rPr>
                <w:rFonts w:ascii="Arial" w:hAnsi="Arial"/>
                <w:color w:val="14110F"/>
                <w:sz w:val="18"/>
              </w:rPr>
              <w:t>Days 41–45</w:t>
            </w:r>
          </w:p>
        </w:tc>
        <w:tc>
          <w:tcPr>
            <w:tcW w:type="dxa" w:w="3213"/>
            <w:tcBorders>
              <w:top w:val="nil"/>
              <w:left w:val="nil"/>
              <w:bottom w:val="single" w:sz="4" w:color="D9D9D9"/>
              <w:right w:val="nil"/>
            </w:tcBorders>
          </w:tcPr>
          <w:p>
            <w:pPr>
              <w:spacing w:after="60" w:before="60"/>
            </w:pPr>
            <w:r/>
            <w:r>
              <w:rPr>
                <w:sz w:val="22"/>
              </w:rPr>
              <w:t xml:space="preserve"> </w:t>
            </w:r>
          </w:p>
        </w:tc>
      </w:tr>
      <w:tr>
        <w:trPr>
          <w:cantSplit/>
        </w:trPr>
        <w:tc>
          <w:tcPr>
            <w:tcW w:type="dxa" w:w="3213"/>
            <w:tcBorders>
              <w:top w:val="nil"/>
              <w:left w:val="nil"/>
              <w:bottom w:val="single" w:sz="4" w:color="D9D9D9"/>
              <w:right w:val="nil"/>
            </w:tcBorders>
          </w:tcPr>
          <w:p>
            <w:pPr>
              <w:spacing w:after="60" w:before="60"/>
            </w:pPr>
            <w:r/>
            <w:r>
              <w:rPr>
                <w:rFonts w:ascii="Arial" w:hAnsi="Arial"/>
                <w:color w:val="14110F"/>
                <w:sz w:val="18"/>
              </w:rPr>
              <w:t>Award and debrief</w:t>
            </w:r>
          </w:p>
        </w:tc>
        <w:tc>
          <w:tcPr>
            <w:tcW w:type="dxa" w:w="3213"/>
            <w:tcBorders>
              <w:top w:val="nil"/>
              <w:left w:val="nil"/>
              <w:bottom w:val="single" w:sz="4" w:color="D9D9D9"/>
              <w:right w:val="nil"/>
            </w:tcBorders>
          </w:tcPr>
          <w:p>
            <w:pPr>
              <w:spacing w:after="60" w:before="60"/>
            </w:pPr>
            <w:r/>
            <w:r>
              <w:rPr>
                <w:rFonts w:ascii="Arial" w:hAnsi="Arial"/>
                <w:color w:val="14110F"/>
                <w:sz w:val="18"/>
              </w:rPr>
              <w:t>Day 50</w:t>
            </w:r>
          </w:p>
        </w:tc>
        <w:tc>
          <w:tcPr>
            <w:tcW w:type="dxa" w:w="3213"/>
            <w:tcBorders>
              <w:top w:val="nil"/>
              <w:left w:val="nil"/>
              <w:bottom w:val="single" w:sz="4" w:color="D9D9D9"/>
              <w:right w:val="nil"/>
            </w:tcBorders>
          </w:tcPr>
          <w:p>
            <w:pPr>
              <w:spacing w:after="60" w:before="60"/>
            </w:pPr>
            <w:r/>
            <w:r>
              <w:rPr>
                <w:rFonts w:ascii="Arial" w:hAnsi="Arial"/>
                <w:color w:val="14110F"/>
                <w:sz w:val="18"/>
              </w:rPr>
              <w:t>Debrief the unsuccessful bidders; you may need them next time</w:t>
            </w:r>
          </w:p>
        </w:tc>
      </w:tr>
    </w:tbl>
    <w:p>
      <w:pPr>
        <w:spacing w:after="80"/>
      </w:pPr>
    </w:p>
    <w:p>
      <w:pPr>
        <w:pStyle w:val="Heading1"/>
        <w:keepNext/>
        <w:pageBreakBefore/>
        <w:spacing w:before="520" w:after="120"/>
      </w:pPr>
      <w:r>
        <w:rPr>
          <w:b/>
          <w:color w:val="14110F"/>
          <w:sz w:val="44"/>
        </w:rPr>
        <w:t>Appendices</w:t>
      </w:r>
    </w:p>
    <w:p>
      <w:pPr>
        <w:pStyle w:val="Heading2"/>
        <w:keepNext/>
        <w:spacing w:before="400" w:after="120"/>
      </w:pPr>
      <w:r>
        <w:rPr>
          <w:b/>
          <w:color w:val="14110F"/>
          <w:sz w:val="30"/>
        </w:rPr>
        <w:t>Appendix A — Content inventory sheet, column set</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COLUMN</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PURPOSE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ID</w:t>
            </w:r>
          </w:p>
        </w:tc>
        <w:tc>
          <w:tcPr>
            <w:tcW w:type="dxa" w:w="5783"/>
            <w:tcBorders>
              <w:top w:val="nil"/>
              <w:left w:val="nil"/>
              <w:bottom w:val="single" w:sz="4" w:color="D9D9D9"/>
              <w:right w:val="nil"/>
            </w:tcBorders>
          </w:tcPr>
          <w:p>
            <w:pPr>
              <w:spacing w:after="60" w:before="60"/>
            </w:pPr>
            <w:r/>
            <w:r>
              <w:rPr>
                <w:rFonts w:ascii="Arial" w:hAnsi="Arial"/>
                <w:color w:val="14110F"/>
                <w:sz w:val="18"/>
              </w:rPr>
              <w:t>Stable identifier in the current system</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URL</w:t>
            </w:r>
          </w:p>
        </w:tc>
        <w:tc>
          <w:tcPr>
            <w:tcW w:type="dxa" w:w="5783"/>
            <w:tcBorders>
              <w:top w:val="nil"/>
              <w:left w:val="nil"/>
              <w:bottom w:val="single" w:sz="4" w:color="D9D9D9"/>
              <w:right w:val="nil"/>
            </w:tcBorders>
          </w:tcPr>
          <w:p>
            <w:pPr>
              <w:spacing w:after="60" w:before="60"/>
            </w:pPr>
            <w:r/>
            <w:r>
              <w:rPr>
                <w:rFonts w:ascii="Arial" w:hAnsi="Arial"/>
                <w:color w:val="14110F"/>
                <w:sz w:val="18"/>
              </w:rPr>
              <w:t>Current live address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Title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Content type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Owner</w:t>
            </w:r>
          </w:p>
        </w:tc>
        <w:tc>
          <w:tcPr>
            <w:tcW w:type="dxa" w:w="5783"/>
            <w:tcBorders>
              <w:top w:val="nil"/>
              <w:left w:val="nil"/>
              <w:bottom w:val="single" w:sz="4" w:color="D9D9D9"/>
              <w:right w:val="nil"/>
            </w:tcBorders>
          </w:tcPr>
          <w:p>
            <w:pPr>
              <w:spacing w:after="60" w:before="60"/>
            </w:pPr>
            <w:r/>
            <w:r>
              <w:rPr>
                <w:rFonts w:ascii="Arial" w:hAnsi="Arial"/>
                <w:color w:val="14110F"/>
                <w:sz w:val="18"/>
              </w:rPr>
              <w:t>Business owner, not the author</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Last modified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Last published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Pageviews, 12 months</w:t>
            </w:r>
          </w:p>
        </w:tc>
        <w:tc>
          <w:tcPr>
            <w:tcW w:type="dxa" w:w="5783"/>
            <w:tcBorders>
              <w:top w:val="nil"/>
              <w:left w:val="nil"/>
              <w:bottom w:val="single" w:sz="4" w:color="D9D9D9"/>
              <w:right w:val="nil"/>
            </w:tcBorders>
          </w:tcPr>
          <w:p>
            <w:pPr>
              <w:spacing w:after="60" w:before="60"/>
            </w:pPr>
            <w:r/>
            <w:r>
              <w:rPr>
                <w:rFonts w:ascii="Arial" w:hAnsi="Arial"/>
                <w:color w:val="14110F"/>
                <w:sz w:val="18"/>
              </w:rPr>
              <w:t>Drives the migrate/archive/drop call</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Organic entrances, 12 months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Inbound links</w:t>
            </w:r>
          </w:p>
        </w:tc>
        <w:tc>
          <w:tcPr>
            <w:tcW w:type="dxa" w:w="5783"/>
            <w:tcBorders>
              <w:top w:val="nil"/>
              <w:left w:val="nil"/>
              <w:bottom w:val="single" w:sz="4" w:color="D9D9D9"/>
              <w:right w:val="nil"/>
            </w:tcBorders>
          </w:tcPr>
          <w:p>
            <w:pPr>
              <w:spacing w:after="60" w:before="60"/>
            </w:pPr>
            <w:r/>
            <w:r>
              <w:rPr>
                <w:rFonts w:ascii="Arial" w:hAnsi="Arial"/>
                <w:color w:val="14110F"/>
                <w:sz w:val="18"/>
              </w:rPr>
              <w:t>External links pointing at this URL</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Conversions</w:t>
            </w:r>
          </w:p>
        </w:tc>
        <w:tc>
          <w:tcPr>
            <w:tcW w:type="dxa" w:w="5783"/>
            <w:tcBorders>
              <w:top w:val="nil"/>
              <w:left w:val="nil"/>
              <w:bottom w:val="single" w:sz="4" w:color="D9D9D9"/>
              <w:right w:val="nil"/>
            </w:tcBorders>
          </w:tcPr>
          <w:p>
            <w:pPr>
              <w:spacing w:after="60" w:before="60"/>
            </w:pPr>
            <w:r/>
            <w:r>
              <w:rPr>
                <w:rFonts w:ascii="Arial" w:hAnsi="Arial"/>
                <w:color w:val="14110F"/>
                <w:sz w:val="18"/>
              </w:rPr>
              <w:t>Where measurable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Languages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Word count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Rich text present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Embedded components</w:t>
            </w:r>
          </w:p>
        </w:tc>
        <w:tc>
          <w:tcPr>
            <w:tcW w:type="dxa" w:w="5783"/>
            <w:tcBorders>
              <w:top w:val="nil"/>
              <w:left w:val="nil"/>
              <w:bottom w:val="single" w:sz="4" w:color="D9D9D9"/>
              <w:right w:val="nil"/>
            </w:tcBorders>
          </w:tcPr>
          <w:p>
            <w:pPr>
              <w:spacing w:after="60" w:before="60"/>
            </w:pPr>
            <w:r/>
            <w:r>
              <w:rPr>
                <w:rFonts w:ascii="Arial" w:hAnsi="Arial"/>
                <w:color w:val="14110F"/>
                <w:sz w:val="18"/>
              </w:rPr>
              <w:t>Which ones</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Media count</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Documents attached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References out</w:t>
            </w:r>
          </w:p>
        </w:tc>
        <w:tc>
          <w:tcPr>
            <w:tcW w:type="dxa" w:w="5783"/>
            <w:tcBorders>
              <w:top w:val="nil"/>
              <w:left w:val="nil"/>
              <w:bottom w:val="single" w:sz="4" w:color="D9D9D9"/>
              <w:right w:val="nil"/>
            </w:tcBorders>
          </w:tcPr>
          <w:p>
            <w:pPr>
              <w:spacing w:after="60" w:before="60"/>
            </w:pPr>
            <w:r/>
            <w:r>
              <w:rPr>
                <w:rFonts w:ascii="Arial" w:hAnsi="Arial"/>
                <w:color w:val="14110F"/>
                <w:sz w:val="18"/>
              </w:rPr>
              <w:t>Entries this one points at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References in</w:t>
            </w:r>
          </w:p>
        </w:tc>
        <w:tc>
          <w:tcPr>
            <w:tcW w:type="dxa" w:w="5783"/>
            <w:tcBorders>
              <w:top w:val="nil"/>
              <w:left w:val="nil"/>
              <w:bottom w:val="single" w:sz="4" w:color="D9D9D9"/>
              <w:right w:val="nil"/>
            </w:tcBorders>
          </w:tcPr>
          <w:p>
            <w:pPr>
              <w:spacing w:after="60" w:before="60"/>
            </w:pPr>
            <w:r/>
            <w:r>
              <w:rPr>
                <w:rFonts w:ascii="Arial" w:hAnsi="Arial"/>
                <w:color w:val="14110F"/>
                <w:sz w:val="18"/>
              </w:rPr>
              <w:t>Entries pointing at this one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Decision</w:t>
            </w:r>
          </w:p>
        </w:tc>
        <w:tc>
          <w:tcPr>
            <w:tcW w:type="dxa" w:w="5783"/>
            <w:tcBorders>
              <w:top w:val="nil"/>
              <w:left w:val="nil"/>
              <w:bottom w:val="single" w:sz="4" w:color="D9D9D9"/>
              <w:right w:val="nil"/>
            </w:tcBorders>
          </w:tcPr>
          <w:p>
            <w:pPr>
              <w:spacing w:after="60" w:before="60"/>
            </w:pPr>
            <w:r/>
            <w:r>
              <w:rPr>
                <w:rFonts w:ascii="Arial" w:hAnsi="Arial"/>
                <w:color w:val="14110F"/>
                <w:sz w:val="18"/>
              </w:rPr>
              <w:t>Migrate / archive / drop</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Decision owner</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Decision date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Notes</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pPr>
        <w:pStyle w:val="Heading2"/>
        <w:keepNext/>
        <w:spacing w:before="400" w:after="120"/>
      </w:pPr>
      <w:r>
        <w:rPr>
          <w:b/>
          <w:color w:val="14110F"/>
          <w:sz w:val="30"/>
        </w:rPr>
        <w:t>Appendix B — Integration register, column set</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COLUMN</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PURPOSE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System</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Vendor</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Purpose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Direction</w:t>
            </w:r>
          </w:p>
        </w:tc>
        <w:tc>
          <w:tcPr>
            <w:tcW w:type="dxa" w:w="5783"/>
            <w:tcBorders>
              <w:top w:val="nil"/>
              <w:left w:val="nil"/>
              <w:bottom w:val="single" w:sz="4" w:color="D9D9D9"/>
              <w:right w:val="nil"/>
            </w:tcBorders>
          </w:tcPr>
          <w:p>
            <w:pPr>
              <w:spacing w:after="60" w:before="60"/>
            </w:pPr>
            <w:r/>
            <w:r>
              <w:rPr>
                <w:rFonts w:ascii="Arial" w:hAnsi="Arial"/>
                <w:color w:val="14110F"/>
                <w:sz w:val="18"/>
              </w:rPr>
              <w:t>Inbound, outbound, bidirectional</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Method</w:t>
            </w:r>
          </w:p>
        </w:tc>
        <w:tc>
          <w:tcPr>
            <w:tcW w:type="dxa" w:w="5783"/>
            <w:tcBorders>
              <w:top w:val="nil"/>
              <w:left w:val="nil"/>
              <w:bottom w:val="single" w:sz="4" w:color="D9D9D9"/>
              <w:right w:val="nil"/>
            </w:tcBorders>
          </w:tcPr>
          <w:p>
            <w:pPr>
              <w:spacing w:after="60" w:before="60"/>
            </w:pPr>
            <w:r/>
            <w:r>
              <w:rPr>
                <w:rFonts w:ascii="Arial" w:hAnsi="Arial"/>
                <w:color w:val="14110F"/>
                <w:sz w:val="18"/>
              </w:rPr>
              <w:t>REST, GraphQL, webhook, SFTP, embedded script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Auth</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Data exchanged</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Personal data involved</w:t>
            </w:r>
          </w:p>
        </w:tc>
        <w:tc>
          <w:tcPr>
            <w:tcW w:type="dxa" w:w="5783"/>
            <w:tcBorders>
              <w:top w:val="nil"/>
              <w:left w:val="nil"/>
              <w:bottom w:val="single" w:sz="4" w:color="D9D9D9"/>
              <w:right w:val="nil"/>
            </w:tcBorders>
          </w:tcPr>
          <w:p>
            <w:pPr>
              <w:spacing w:after="60" w:before="60"/>
            </w:pPr>
            <w:r/>
            <w:r>
              <w:rPr>
                <w:rFonts w:ascii="Arial" w:hAnsi="Arial"/>
                <w:color w:val="14110F"/>
                <w:sz w:val="18"/>
              </w:rPr>
              <w:t>Drives the DPA and records-of-processing work</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System owner, internal</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Owner informed of this project</w:t>
            </w:r>
          </w:p>
        </w:tc>
        <w:tc>
          <w:tcPr>
            <w:tcW w:type="dxa" w:w="5783"/>
            <w:tcBorders>
              <w:top w:val="nil"/>
              <w:left w:val="nil"/>
              <w:bottom w:val="single" w:sz="4" w:color="D9D9D9"/>
              <w:right w:val="nil"/>
            </w:tcBorders>
          </w:tcPr>
          <w:p>
            <w:pPr>
              <w:spacing w:after="60" w:before="60"/>
            </w:pPr>
            <w:r/>
            <w:r>
              <w:rPr>
                <w:rFonts w:ascii="Arial" w:hAnsi="Arial"/>
                <w:color w:val="14110F"/>
                <w:sz w:val="18"/>
              </w:rPr>
              <w:t>Yes / no / date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Contract renewal date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Environment parity</w:t>
            </w:r>
          </w:p>
        </w:tc>
        <w:tc>
          <w:tcPr>
            <w:tcW w:type="dxa" w:w="5783"/>
            <w:tcBorders>
              <w:top w:val="nil"/>
              <w:left w:val="nil"/>
              <w:bottom w:val="single" w:sz="4" w:color="D9D9D9"/>
              <w:right w:val="nil"/>
            </w:tcBorders>
          </w:tcPr>
          <w:p>
            <w:pPr>
              <w:spacing w:after="60" w:before="60"/>
            </w:pPr>
            <w:r/>
            <w:r>
              <w:rPr>
                <w:rFonts w:ascii="Arial" w:hAnsi="Arial"/>
                <w:color w:val="14110F"/>
                <w:sz w:val="18"/>
              </w:rPr>
              <w:t>Is there a non-production instance to build against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Day one or later phase</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Replacement candidate</w:t>
            </w:r>
          </w:p>
        </w:tc>
        <w:tc>
          <w:tcPr>
            <w:tcW w:type="dxa" w:w="5783"/>
            <w:tcBorders>
              <w:top w:val="nil"/>
              <w:left w:val="nil"/>
              <w:bottom w:val="single" w:sz="4" w:color="D9D9D9"/>
              <w:right w:val="nil"/>
            </w:tcBorders>
          </w:tcPr>
          <w:p>
            <w:pPr>
              <w:spacing w:after="60" w:before="60"/>
            </w:pPr>
            <w:r/>
            <w:r>
              <w:rPr>
                <w:rFonts w:ascii="Arial" w:hAnsi="Arial"/>
                <w:color w:val="14110F"/>
                <w:sz w:val="18"/>
              </w:rPr>
              <w:t>Whether this project is the moment to replace it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Notes</w:t>
            </w:r>
          </w:p>
        </w:tc>
        <w:tc>
          <w:tcPr>
            <w:tcW w:type="dxa" w:w="5783"/>
            <w:tcBorders>
              <w:top w:val="nil"/>
              <w:left w:val="nil"/>
              <w:bottom w:val="single" w:sz="4" w:color="D9D9D9"/>
              <w:right w:val="nil"/>
            </w:tcBorders>
          </w:tcPr>
          <w:p>
            <w:pPr>
              <w:spacing w:after="60" w:before="60"/>
            </w:pPr>
            <w:r/>
            <w:r>
              <w:rPr>
                <w:sz w:val="22"/>
              </w:rPr>
              <w:t xml:space="preserve"> </w:t>
            </w:r>
          </w:p>
        </w:tc>
      </w:tr>
    </w:tbl>
    <w:p>
      <w:pPr>
        <w:spacing w:after="80"/>
      </w:pPr>
    </w:p>
    <w:p>
      <w:pPr>
        <w:pStyle w:val="Heading2"/>
        <w:keepNext/>
        <w:spacing w:before="400" w:after="120"/>
      </w:pPr>
      <w:r>
        <w:rPr>
          <w:b/>
          <w:color w:val="14110F"/>
          <w:sz w:val="30"/>
        </w:rPr>
        <w:t>Appendix C — Redirect map, column set</w:t>
      </w:r>
    </w:p>
    <w:tbl>
      <w:tblPr>
        <w:tblW w:type="auto" w:w="0"/>
        <w:jc w:val="left"/>
        <w:tblLayout w:type="fixed"/>
        <w:tblLook w:firstColumn="1" w:firstRow="1" w:lastColumn="0" w:lastRow="0" w:noHBand="0" w:noVBand="1" w:val="04A0"/>
      </w:tblPr>
      <w:tblGrid>
        <w:gridCol w:w="3855"/>
        <w:gridCol w:w="5783"/>
      </w:tblGrid>
      <w:tr>
        <w:trPr>
          <w:tblHeader/>
        </w:trPr>
        <w:tc>
          <w:tcPr>
            <w:tcW w:type="dxa" w:w="3855"/>
            <w:tcBorders>
              <w:top w:val="nil"/>
              <w:left w:val="nil"/>
              <w:bottom w:val="single" w:sz="8" w:color="14110F"/>
              <w:right w:val="nil"/>
            </w:tcBorders>
          </w:tcPr>
          <w:p>
            <w:pPr>
              <w:keepNext/>
              <w:spacing w:after="60" w:before="60"/>
            </w:pPr>
            <w:r/>
            <w:r>
              <w:rPr>
                <w:rFonts w:ascii="Arial" w:hAnsi="Arial"/>
                <w:b/>
                <w:color w:val="FC0396"/>
                <w:sz w:val="15"/>
              </w:rPr>
              <w:t>COLUMN</w:t>
            </w:r>
          </w:p>
        </w:tc>
        <w:tc>
          <w:tcPr>
            <w:tcW w:type="dxa" w:w="5783"/>
            <w:tcBorders>
              <w:top w:val="nil"/>
              <w:left w:val="nil"/>
              <w:bottom w:val="single" w:sz="8" w:color="14110F"/>
              <w:right w:val="nil"/>
            </w:tcBorders>
          </w:tcPr>
          <w:p>
            <w:pPr>
              <w:keepNext/>
              <w:spacing w:after="60" w:before="60"/>
            </w:pPr>
            <w:r/>
            <w:r>
              <w:rPr>
                <w:rFonts w:ascii="Arial" w:hAnsi="Arial"/>
                <w:b/>
                <w:color w:val="FC0396"/>
                <w:sz w:val="15"/>
              </w:rPr>
              <w:t>PURPOSE</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Old URL</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New URL</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Status code</w:t>
            </w:r>
          </w:p>
        </w:tc>
        <w:tc>
          <w:tcPr>
            <w:tcW w:type="dxa" w:w="5783"/>
            <w:tcBorders>
              <w:top w:val="nil"/>
              <w:left w:val="nil"/>
              <w:bottom w:val="single" w:sz="4" w:color="D9D9D9"/>
              <w:right w:val="nil"/>
            </w:tcBorders>
          </w:tcPr>
          <w:p>
            <w:pPr>
              <w:spacing w:after="60" w:before="60"/>
            </w:pPr>
            <w:r/>
            <w:r>
              <w:rPr>
                <w:rFonts w:ascii="Arial" w:hAnsi="Arial"/>
                <w:color w:val="14110F"/>
                <w:sz w:val="18"/>
              </w:rPr>
              <w:t>301 unless there is a reason</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Source</w:t>
            </w:r>
          </w:p>
        </w:tc>
        <w:tc>
          <w:tcPr>
            <w:tcW w:type="dxa" w:w="5783"/>
            <w:tcBorders>
              <w:top w:val="nil"/>
              <w:left w:val="nil"/>
              <w:bottom w:val="single" w:sz="4" w:color="D9D9D9"/>
              <w:right w:val="nil"/>
            </w:tcBorders>
          </w:tcPr>
          <w:p>
            <w:pPr>
              <w:spacing w:after="60" w:before="60"/>
            </w:pPr>
            <w:r/>
            <w:r>
              <w:rPr>
                <w:rFonts w:ascii="Arial" w:hAnsi="Arial"/>
                <w:color w:val="14110F"/>
                <w:sz w:val="18"/>
              </w:rPr>
              <w:t>Sitemap, Search Console, analytics, crawl, manual</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Traffic, 12 months</w:t>
            </w:r>
          </w:p>
        </w:tc>
        <w:tc>
          <w:tcPr>
            <w:tcW w:type="dxa" w:w="5783"/>
            <w:tcBorders>
              <w:top w:val="nil"/>
              <w:left w:val="nil"/>
              <w:bottom w:val="single" w:sz="4" w:color="D9D9D9"/>
              <w:right w:val="nil"/>
            </w:tcBorders>
          </w:tcPr>
          <w:p>
            <w:pPr>
              <w:spacing w:after="60" w:before="60"/>
            </w:pPr>
            <w:r/>
            <w:r>
              <w:rPr>
                <w:rFonts w:ascii="Arial" w:hAnsi="Arial"/>
                <w:color w:val="14110F"/>
                <w:sz w:val="18"/>
              </w:rPr>
              <w:t>Prioritises review effort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Inbound links</w:t>
            </w:r>
          </w:p>
        </w:tc>
        <w:tc>
          <w:tcPr>
            <w:tcW w:type="dxa" w:w="5783"/>
            <w:tcBorders>
              <w:top w:val="nil"/>
              <w:left w:val="nil"/>
              <w:bottom w:val="single" w:sz="4" w:color="D9D9D9"/>
              <w:right w:val="nil"/>
            </w:tcBorders>
          </w:tcPr>
          <w:p>
            <w:pPr>
              <w:spacing w:after="60" w:before="60"/>
            </w:pPr>
            <w:r/>
            <w:r>
              <w:rPr>
                <w:sz w:val="22"/>
              </w:rPr>
              <w:t xml:space="preserve"> </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Chain collapsed</w:t>
            </w:r>
          </w:p>
        </w:tc>
        <w:tc>
          <w:tcPr>
            <w:tcW w:type="dxa" w:w="5783"/>
            <w:tcBorders>
              <w:top w:val="nil"/>
              <w:left w:val="nil"/>
              <w:bottom w:val="single" w:sz="4" w:color="D9D9D9"/>
              <w:right w:val="nil"/>
            </w:tcBorders>
          </w:tcPr>
          <w:p>
            <w:pPr>
              <w:spacing w:after="60" w:before="60"/>
            </w:pPr>
            <w:r/>
            <w:r>
              <w:rPr>
                <w:rFonts w:ascii="Arial" w:hAnsi="Arial"/>
                <w:color w:val="14110F"/>
                <w:sz w:val="18"/>
              </w:rPr>
              <w:t>Whether this replaced an existing redirect</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Rule type</w:t>
            </w:r>
          </w:p>
        </w:tc>
        <w:tc>
          <w:tcPr>
            <w:tcW w:type="dxa" w:w="5783"/>
            <w:tcBorders>
              <w:top w:val="nil"/>
              <w:left w:val="nil"/>
              <w:bottom w:val="single" w:sz="4" w:color="D9D9D9"/>
              <w:right w:val="nil"/>
            </w:tcBorders>
          </w:tcPr>
          <w:p>
            <w:pPr>
              <w:spacing w:after="60" w:before="60"/>
            </w:pPr>
            <w:r/>
            <w:r>
              <w:rPr>
                <w:rFonts w:ascii="Arial" w:hAnsi="Arial"/>
                <w:color w:val="14110F"/>
                <w:sz w:val="18"/>
              </w:rPr>
              <w:t>Exact match or pattern</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Executes at</w:t>
            </w:r>
          </w:p>
        </w:tc>
        <w:tc>
          <w:tcPr>
            <w:tcW w:type="dxa" w:w="5783"/>
            <w:tcBorders>
              <w:top w:val="nil"/>
              <w:left w:val="nil"/>
              <w:bottom w:val="single" w:sz="4" w:color="D9D9D9"/>
              <w:right w:val="nil"/>
            </w:tcBorders>
          </w:tcPr>
          <w:p>
            <w:pPr>
              <w:spacing w:after="60" w:before="60"/>
            </w:pPr>
            <w:r/>
            <w:r>
              <w:rPr>
                <w:rFonts w:ascii="Arial" w:hAnsi="Arial"/>
                <w:color w:val="14110F"/>
                <w:sz w:val="18"/>
              </w:rPr>
              <w:t>CDN, edge, application, web server</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Tested</w:t>
            </w:r>
          </w:p>
        </w:tc>
        <w:tc>
          <w:tcPr>
            <w:tcW w:type="dxa" w:w="5783"/>
            <w:tcBorders>
              <w:top w:val="nil"/>
              <w:left w:val="nil"/>
              <w:bottom w:val="single" w:sz="4" w:color="D9D9D9"/>
              <w:right w:val="nil"/>
            </w:tcBorders>
          </w:tcPr>
          <w:p>
            <w:pPr>
              <w:spacing w:after="60" w:before="60"/>
            </w:pPr>
            <w:r/>
            <w:r>
              <w:rPr>
                <w:rFonts w:ascii="Arial" w:hAnsi="Arial"/>
                <w:color w:val="14110F"/>
                <w:sz w:val="18"/>
              </w:rPr>
              <w:t>Date and by whom</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Verified post-cutover</w:t>
            </w:r>
          </w:p>
        </w:tc>
        <w:tc>
          <w:tcPr>
            <w:tcW w:type="dxa" w:w="5783"/>
            <w:tcBorders>
              <w:top w:val="nil"/>
              <w:left w:val="nil"/>
              <w:bottom w:val="single" w:sz="4" w:color="D9D9D9"/>
              <w:right w:val="nil"/>
            </w:tcBorders>
          </w:tcPr>
          <w:p>
            <w:pPr>
              <w:spacing w:after="60" w:before="60"/>
            </w:pPr>
            <w:r/>
            <w:r>
              <w:rPr>
                <w:rFonts w:ascii="Arial" w:hAnsi="Arial"/>
                <w:color w:val="14110F"/>
                <w:sz w:val="18"/>
              </w:rPr>
              <w:t>Date and by whom</w:t>
            </w:r>
          </w:p>
        </w:tc>
      </w:tr>
      <w:tr>
        <w:trPr>
          <w:cantSplit/>
        </w:trPr>
        <w:tc>
          <w:tcPr>
            <w:tcW w:type="dxa" w:w="3855"/>
            <w:tcBorders>
              <w:top w:val="nil"/>
              <w:left w:val="nil"/>
              <w:bottom w:val="single" w:sz="4" w:color="D9D9D9"/>
              <w:right w:val="nil"/>
            </w:tcBorders>
          </w:tcPr>
          <w:p>
            <w:pPr>
              <w:spacing w:after="60" w:before="60"/>
            </w:pPr>
            <w:r/>
            <w:r>
              <w:rPr>
                <w:rFonts w:ascii="Arial" w:hAnsi="Arial"/>
                <w:color w:val="14110F"/>
                <w:sz w:val="18"/>
              </w:rPr>
              <w:t>Retire date</w:t>
            </w:r>
          </w:p>
        </w:tc>
        <w:tc>
          <w:tcPr>
            <w:tcW w:type="dxa" w:w="5783"/>
            <w:tcBorders>
              <w:top w:val="nil"/>
              <w:left w:val="nil"/>
              <w:bottom w:val="single" w:sz="4" w:color="D9D9D9"/>
              <w:right w:val="nil"/>
            </w:tcBorders>
          </w:tcPr>
          <w:p>
            <w:pPr>
              <w:spacing w:after="60" w:before="60"/>
            </w:pPr>
            <w:r/>
            <w:r>
              <w:rPr>
                <w:rFonts w:ascii="Arial" w:hAnsi="Arial"/>
                <w:color w:val="14110F"/>
                <w:sz w:val="18"/>
              </w:rPr>
              <w:t>Not earlier than 12 months after cutover</w:t>
            </w:r>
          </w:p>
        </w:tc>
      </w:tr>
    </w:tbl>
    <w:p>
      <w:pPr>
        <w:spacing w:after="80"/>
      </w:pPr>
    </w:p>
    <w:p>
      <w:pPr>
        <w:pStyle w:val="Heading2"/>
        <w:keepNext/>
        <w:spacing w:before="400" w:after="120"/>
      </w:pPr>
      <w:r>
        <w:rPr>
          <w:b/>
          <w:color w:val="14110F"/>
          <w:sz w:val="30"/>
        </w:rPr>
        <w:t>Appendix D — Clarification log</w:t>
      </w:r>
    </w:p>
    <w:tbl>
      <w:tblPr>
        <w:tblW w:type="auto" w:w="0"/>
        <w:jc w:val="left"/>
        <w:tblLayout w:type="fixed"/>
        <w:tblLook w:firstColumn="1" w:firstRow="1" w:lastColumn="0" w:lastRow="0" w:noHBand="0" w:noVBand="1" w:val="04A0"/>
      </w:tblPr>
      <w:tblGrid>
        <w:gridCol w:w="1606"/>
        <w:gridCol w:w="1606"/>
        <w:gridCol w:w="1606"/>
        <w:gridCol w:w="1606"/>
        <w:gridCol w:w="1606"/>
        <w:gridCol w:w="1606"/>
      </w:tblGrid>
      <w:tr>
        <w:trPr>
          <w:tblHeader/>
        </w:trPr>
        <w:tc>
          <w:tcPr>
            <w:tcW w:type="dxa" w:w="1606"/>
            <w:tcBorders>
              <w:top w:val="nil"/>
              <w:left w:val="nil"/>
              <w:bottom w:val="single" w:sz="8" w:color="14110F"/>
              <w:right w:val="nil"/>
            </w:tcBorders>
          </w:tcPr>
          <w:p>
            <w:pPr>
              <w:keepNext/>
              <w:spacing w:after="60" w:before="60"/>
            </w:pPr>
            <w:r/>
            <w:r>
              <w:rPr>
                <w:rFonts w:ascii="Arial" w:hAnsi="Arial"/>
                <w:b/>
                <w:color w:val="FC0396"/>
                <w:sz w:val="15"/>
              </w:rPr>
              <w:t>#</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DATE</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VENDOR</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QUESTION</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ANSWER</w:t>
            </w:r>
          </w:p>
        </w:tc>
        <w:tc>
          <w:tcPr>
            <w:tcW w:type="dxa" w:w="1606"/>
            <w:tcBorders>
              <w:top w:val="nil"/>
              <w:left w:val="nil"/>
              <w:bottom w:val="single" w:sz="8" w:color="14110F"/>
              <w:right w:val="nil"/>
            </w:tcBorders>
          </w:tcPr>
          <w:p>
            <w:pPr>
              <w:keepNext/>
              <w:spacing w:after="60" w:before="60"/>
            </w:pPr>
            <w:r/>
            <w:r>
              <w:rPr>
                <w:rFonts w:ascii="Arial" w:hAnsi="Arial"/>
                <w:b/>
                <w:color w:val="FC0396"/>
                <w:sz w:val="15"/>
              </w:rPr>
              <w:t>CIRCULATED TO ALL</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r>
        <w:trPr>
          <w:cantSplit/>
        </w:trPr>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c>
          <w:tcPr>
            <w:tcW w:type="dxa" w:w="1606"/>
            <w:tcBorders>
              <w:top w:val="nil"/>
              <w:left w:val="nil"/>
              <w:bottom w:val="single" w:sz="4" w:color="D9D9D9"/>
              <w:right w:val="nil"/>
            </w:tcBorders>
          </w:tcPr>
          <w:p>
            <w:pPr>
              <w:spacing w:after="60" w:before="60"/>
            </w:pPr>
            <w:r/>
            <w:r>
              <w:rPr>
                <w:sz w:val="22"/>
              </w:rPr>
              <w:t xml:space="preserve"> </w:t>
            </w:r>
          </w:p>
        </w:tc>
      </w:tr>
    </w:tbl>
    <w:p>
      <w:pPr>
        <w:spacing w:after="80"/>
      </w:pPr>
    </w:p>
    <w:p>
      <w:pPr>
        <w:pStyle w:val="Heading2"/>
        <w:keepNext/>
        <w:spacing w:before="400" w:after="120"/>
      </w:pPr>
      <w:r>
        <w:rPr>
          <w:b/>
          <w:color w:val="14110F"/>
          <w:sz w:val="30"/>
        </w:rPr>
        <w:t>Sources</w:t>
      </w:r>
    </w:p>
    <w:p>
      <w:pPr>
        <w:pStyle w:val="ListBullet"/>
        <w:spacing w:after="60"/>
      </w:pPr>
      <w:r>
        <w:rPr>
          <w:rFonts w:ascii="Arial" w:hAnsi="Arial"/>
          <w:color w:val="14110F"/>
          <w:sz w:val="22"/>
        </w:rPr>
        <w:t>Google Search Central, Site moves with URL changes. Guidance on URL mapping, redirect retention and monitoring during a move. https://developers.google.com/search/docs/crawling-indexing/site-move-with-url-changes</w:t>
      </w:r>
    </w:p>
    <w:p>
      <w:pPr>
        <w:pStyle w:val="ListBullet"/>
        <w:spacing w:after="60"/>
      </w:pPr>
      <w:r>
        <w:rPr>
          <w:rFonts w:ascii="Arial" w:hAnsi="Arial"/>
          <w:color w:val="14110F"/>
          <w:sz w:val="22"/>
        </w:rPr>
        <w:t>Google Search Central, Redirects and Google Search. https://developers.google.com/search/docs/crawling-indexing/301-redirects</w:t>
      </w:r>
    </w:p>
    <w:p>
      <w:pPr>
        <w:pStyle w:val="ListBullet"/>
        <w:spacing w:after="60"/>
      </w:pPr>
      <w:r>
        <w:rPr>
          <w:rFonts w:ascii="Arial" w:hAnsi="Arial"/>
          <w:color w:val="14110F"/>
          <w:sz w:val="22"/>
        </w:rPr>
        <w:t>W3C, Web Content Accessibility Guidelines 2.2. https://www.w3.org/TR/WCAG22/</w:t>
      </w:r>
    </w:p>
    <w:p>
      <w:pPr>
        <w:pStyle w:val="ListBullet"/>
        <w:spacing w:after="60"/>
      </w:pPr>
      <w:r>
        <w:rPr>
          <w:rFonts w:ascii="Arial" w:hAnsi="Arial"/>
          <w:color w:val="14110F"/>
          <w:sz w:val="22"/>
        </w:rPr>
        <w:t>W3C, Evaluating Web Accessibility Overview. Use a defined evaluation scope and a combination of automated and human evaluation. https://www.w3.org/WAI/test-evaluate/</w:t>
      </w:r>
    </w:p>
    <w:p>
      <w:r>
        <w:rPr>
          <w:rFonts w:ascii="Arial" w:hAnsi="Arial"/>
          <w:color w:val="14110F"/>
          <w:sz w:val="22"/>
        </w:rPr>
        <w:t>Weights, examples and the process timeline are editable WAYF starting points. They are not external benchmarks or procurement requirements.</w:t>
      </w:r>
    </w:p>
    <w:p>
      <w:pPr>
        <w:ind w:left="317"/>
      </w:pPr>
      <w:r>
        <w:rPr>
          <w:rFonts w:ascii="Arial" w:hAnsi="Arial"/>
          <w:i/>
          <w:color w:val="3F3F46"/>
          <w:sz w:val="20"/>
        </w:rPr>
        <w:t>Published by WAYF. We build content platforms and run CMS migrations for enterprises and institutions. If it is useful, take it, change it, and send it to your shortlist under your own name — attribution is welcome and not required.</w:t>
      </w:r>
    </w:p>
    <w:p>
      <w:pPr>
        <w:ind w:left="317"/>
      </w:pPr>
      <w:r>
        <w:rPr>
          <w:rFonts w:ascii="Arial" w:hAnsi="Arial"/>
          <w:i/>
          <w:color w:val="3F3F46"/>
          <w:sz w:val="20"/>
        </w:rPr>
        <w:t>wayf.ai</w:t>
      </w:r>
    </w:p>
    <w:sectPr w:rsidR="00FC693F" w:rsidRPr="0006063C" w:rsidSect="00034616">
      <w:footerReference w:type="default" r:id="rId9"/>
      <w:pgSz w:w="11906" w:h="16838"/>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Arial" w:hAnsi="Arial"/>
      <w:color w:val="14110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E618BF"/>
    <w:rPr>
      <w:rFonts w:ascii="Arial" w:hAnsi="Arial"/>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sz w:val="16"/>
    </w:rPr>
  </w:style>
  <w:style w:type="character" w:customStyle="1" w:styleId="FooterChar">
    <w:name w:val="Footer Char"/>
    <w:basedOn w:val="DefaultParagraphFont"/>
    <w:link w:val="Footer"/>
    <w:uiPriority w:val="99"/>
    <w:rsid w:val="00E618B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Arial" w:hAnsi="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Arial" w:hAnsi="Arial"/>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Arial" w:hAnsi="Arial"/>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Arial" w:hAnsi="Arial"/>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Arial" w:hAnsi="Arial"/>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Arial" w:hAnsi="Arial"/>
      <w:i/>
      <w:iCs/>
      <w:color w:val="404040" w:themeColor="text1" w:themeTint="BF"/>
      <w:sz w:val="20"/>
      <w:szCs w:val="20"/>
    </w:rPr>
  </w:style>
  <w:style w:type="character" w:default="1" w:styleId="DefaultParagraphFont">
    <w:name w:val="Default Paragraph Font"/>
    <w:uiPriority w:val="1"/>
    <w:semiHidden/>
    <w:unhideWhenUsed/>
    <w:rPr>
      <w:rFonts w:ascii="Arial" w:hAnsi="Arial"/>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Arial" w:hAnsi="Arial"/>
    </w:rPr>
  </w:style>
  <w:style w:type="character" w:customStyle="1" w:styleId="Heading1Char">
    <w:name w:val="Heading 1 Char"/>
    <w:basedOn w:val="DefaultParagraphFont"/>
    <w:link w:val="Heading1"/>
    <w:uiPriority w:val="9"/>
    <w:rsid w:val="00FC693F"/>
    <w:rPr>
      <w:rFonts w:ascii="Arial" w:hAnsi="Arial"/>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Arial" w:hAnsi="Arial"/>
      <w:b/>
      <w:bCs/>
      <w:color w:val="4F81BD" w:themeColor="accent1"/>
      <w:sz w:val="26"/>
      <w:szCs w:val="26"/>
    </w:rPr>
  </w:style>
  <w:style w:type="character" w:customStyle="1" w:styleId="Heading3Char">
    <w:name w:val="Heading 3 Char"/>
    <w:basedOn w:val="DefaultParagraphFont"/>
    <w:link w:val="Heading3"/>
    <w:uiPriority w:val="9"/>
    <w:rsid w:val="00FC693F"/>
    <w:rPr>
      <w:rFonts w:ascii="Arial" w:hAnsi="Arial"/>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Arial" w:hAnsi="Arial"/>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Arial" w:hAnsi="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Arial" w:hAnsi="Arial"/>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rial" w:hAnsi="Arial"/>
    </w:rPr>
  </w:style>
  <w:style w:type="paragraph" w:styleId="BodyText">
    <w:name w:val="Body Text"/>
    <w:basedOn w:val="Normal"/>
    <w:link w:val="BodyTextChar"/>
    <w:uiPriority w:val="99"/>
    <w:unhideWhenUsed/>
    <w:rsid w:val="00AA1D8D"/>
    <w:pPr>
      <w:spacing w:after="120"/>
    </w:pPr>
    <w:rPr>
      <w:rFonts w:ascii="Arial" w:hAnsi="Arial"/>
    </w:rPr>
  </w:style>
  <w:style w:type="character" w:customStyle="1" w:styleId="BodyTextChar">
    <w:name w:val="Body Text Char"/>
    <w:basedOn w:val="DefaultParagraphFont"/>
    <w:link w:val="BodyText"/>
    <w:uiPriority w:val="99"/>
    <w:rsid w:val="00AA1D8D"/>
    <w:rPr>
      <w:rFonts w:ascii="Arial" w:hAnsi="Arial"/>
    </w:rPr>
  </w:style>
  <w:style w:type="paragraph" w:styleId="BodyText2">
    <w:name w:val="Body Text 2"/>
    <w:basedOn w:val="Normal"/>
    <w:link w:val="BodyText2Char"/>
    <w:uiPriority w:val="99"/>
    <w:unhideWhenUsed/>
    <w:rsid w:val="00AA1D8D"/>
    <w:pPr>
      <w:spacing w:after="120" w:line="480" w:lineRule="auto"/>
    </w:pPr>
    <w:rPr>
      <w:rFonts w:ascii="Arial" w:hAnsi="Arial"/>
    </w:rPr>
  </w:style>
  <w:style w:type="character" w:customStyle="1" w:styleId="BodyText2Char">
    <w:name w:val="Body Text 2 Char"/>
    <w:basedOn w:val="DefaultParagraphFont"/>
    <w:link w:val="BodyText2"/>
    <w:uiPriority w:val="99"/>
    <w:rsid w:val="00AA1D8D"/>
    <w:rPr>
      <w:rFonts w:ascii="Arial" w:hAnsi="Arial"/>
    </w:rPr>
  </w:style>
  <w:style w:type="paragraph" w:styleId="BodyText3">
    <w:name w:val="Body Text 3"/>
    <w:basedOn w:val="Normal"/>
    <w:link w:val="BodyText3Char"/>
    <w:uiPriority w:val="99"/>
    <w:unhideWhenUsed/>
    <w:rsid w:val="00AA1D8D"/>
    <w:pPr>
      <w:spacing w:after="120"/>
    </w:pPr>
    <w:rPr>
      <w:rFonts w:ascii="Arial" w:hAnsi="Arial"/>
      <w:sz w:val="16"/>
      <w:szCs w:val="16"/>
    </w:rPr>
  </w:style>
  <w:style w:type="character" w:customStyle="1" w:styleId="BodyText3Char">
    <w:name w:val="Body Text 3 Char"/>
    <w:basedOn w:val="DefaultParagraphFont"/>
    <w:link w:val="BodyText3"/>
    <w:uiPriority w:val="99"/>
    <w:rsid w:val="00AA1D8D"/>
    <w:rPr>
      <w:rFonts w:ascii="Arial" w:hAnsi="Arial"/>
      <w:sz w:val="16"/>
      <w:szCs w:val="16"/>
    </w:rPr>
  </w:style>
  <w:style w:type="paragraph" w:styleId="List">
    <w:name w:val="List"/>
    <w:basedOn w:val="Normal"/>
    <w:uiPriority w:val="99"/>
    <w:unhideWhenUsed/>
    <w:rsid w:val="00AA1D8D"/>
    <w:pPr>
      <w:ind w:left="360" w:hanging="360"/>
      <w:contextualSpacing/>
    </w:pPr>
    <w:rPr>
      <w:rFonts w:ascii="Arial" w:hAnsi="Arial"/>
    </w:rPr>
  </w:style>
  <w:style w:type="paragraph" w:styleId="List2">
    <w:name w:val="List 2"/>
    <w:basedOn w:val="Normal"/>
    <w:uiPriority w:val="99"/>
    <w:unhideWhenUsed/>
    <w:rsid w:val="00326F90"/>
    <w:pPr>
      <w:ind w:left="720" w:hanging="360"/>
      <w:contextualSpacing/>
    </w:pPr>
    <w:rPr>
      <w:rFonts w:ascii="Arial" w:hAnsi="Arial"/>
    </w:rPr>
  </w:style>
  <w:style w:type="paragraph" w:styleId="List3">
    <w:name w:val="List 3"/>
    <w:basedOn w:val="Normal"/>
    <w:uiPriority w:val="99"/>
    <w:unhideWhenUsed/>
    <w:rsid w:val="00326F90"/>
    <w:pPr>
      <w:ind w:left="1080" w:hanging="360"/>
      <w:contextualSpacing/>
    </w:pPr>
    <w:rPr>
      <w:rFonts w:ascii="Arial" w:hAnsi="Arial"/>
    </w:rPr>
  </w:style>
  <w:style w:type="paragraph" w:styleId="ListBullet">
    <w:name w:val="List Bullet"/>
    <w:basedOn w:val="Normal"/>
    <w:uiPriority w:val="99"/>
    <w:unhideWhenUsed/>
    <w:rsid w:val="00326F90"/>
    <w:pPr>
      <w:numPr>
        <w:numId w:val="1"/>
      </w:numPr>
      <w:contextualSpacing/>
    </w:pPr>
    <w:rPr>
      <w:rFonts w:ascii="Arial" w:hAnsi="Arial"/>
    </w:rPr>
  </w:style>
  <w:style w:type="paragraph" w:styleId="ListBullet2">
    <w:name w:val="List Bullet 2"/>
    <w:basedOn w:val="Normal"/>
    <w:uiPriority w:val="99"/>
    <w:unhideWhenUsed/>
    <w:rsid w:val="00326F90"/>
    <w:pPr>
      <w:numPr>
        <w:numId w:val="2"/>
      </w:numPr>
      <w:contextualSpacing/>
    </w:pPr>
    <w:rPr>
      <w:rFonts w:ascii="Arial" w:hAnsi="Arial"/>
    </w:rPr>
  </w:style>
  <w:style w:type="paragraph" w:styleId="ListBullet3">
    <w:name w:val="List Bullet 3"/>
    <w:basedOn w:val="Normal"/>
    <w:uiPriority w:val="99"/>
    <w:unhideWhenUsed/>
    <w:rsid w:val="00326F90"/>
    <w:pPr>
      <w:numPr>
        <w:numId w:val="3"/>
      </w:numPr>
      <w:contextualSpacing/>
    </w:pPr>
    <w:rPr>
      <w:rFonts w:ascii="Arial" w:hAnsi="Arial"/>
    </w:rPr>
  </w:style>
  <w:style w:type="paragraph" w:styleId="ListNumber">
    <w:name w:val="List Number"/>
    <w:basedOn w:val="Normal"/>
    <w:uiPriority w:val="99"/>
    <w:unhideWhenUsed/>
    <w:rsid w:val="00326F90"/>
    <w:pPr>
      <w:numPr>
        <w:numId w:val="5"/>
      </w:numPr>
      <w:contextualSpacing/>
    </w:pPr>
    <w:rPr>
      <w:rFonts w:ascii="Arial" w:hAnsi="Arial"/>
    </w:rPr>
  </w:style>
  <w:style w:type="paragraph" w:styleId="ListNumber2">
    <w:name w:val="List Number 2"/>
    <w:basedOn w:val="Normal"/>
    <w:uiPriority w:val="99"/>
    <w:unhideWhenUsed/>
    <w:rsid w:val="0029639D"/>
    <w:pPr>
      <w:numPr>
        <w:numId w:val="6"/>
      </w:numPr>
      <w:contextualSpacing/>
    </w:pPr>
    <w:rPr>
      <w:rFonts w:ascii="Arial" w:hAnsi="Arial"/>
    </w:rPr>
  </w:style>
  <w:style w:type="paragraph" w:styleId="ListNumber3">
    <w:name w:val="List Number 3"/>
    <w:basedOn w:val="Normal"/>
    <w:uiPriority w:val="99"/>
    <w:unhideWhenUsed/>
    <w:rsid w:val="0029639D"/>
    <w:pPr>
      <w:numPr>
        <w:numId w:val="7"/>
      </w:numPr>
      <w:contextualSpacing/>
    </w:pPr>
    <w:rPr>
      <w:rFonts w:ascii="Arial" w:hAnsi="Arial"/>
    </w:rPr>
  </w:style>
  <w:style w:type="paragraph" w:styleId="ListContinue">
    <w:name w:val="List Continue"/>
    <w:basedOn w:val="Normal"/>
    <w:uiPriority w:val="99"/>
    <w:unhideWhenUsed/>
    <w:rsid w:val="0029639D"/>
    <w:pPr>
      <w:spacing w:after="120"/>
      <w:ind w:left="360"/>
      <w:contextualSpacing/>
    </w:pPr>
    <w:rPr>
      <w:rFonts w:ascii="Arial" w:hAnsi="Arial"/>
    </w:rPr>
  </w:style>
  <w:style w:type="paragraph" w:styleId="ListContinue2">
    <w:name w:val="List Continue 2"/>
    <w:basedOn w:val="Normal"/>
    <w:uiPriority w:val="99"/>
    <w:unhideWhenUsed/>
    <w:rsid w:val="0029639D"/>
    <w:pPr>
      <w:spacing w:after="120"/>
      <w:ind w:left="720"/>
      <w:contextualSpacing/>
    </w:pPr>
    <w:rPr>
      <w:rFonts w:ascii="Arial" w:hAnsi="Arial"/>
    </w:rPr>
  </w:style>
  <w:style w:type="paragraph" w:styleId="ListContinue3">
    <w:name w:val="List Continue 3"/>
    <w:basedOn w:val="Normal"/>
    <w:uiPriority w:val="99"/>
    <w:unhideWhenUsed/>
    <w:rsid w:val="0029639D"/>
    <w:pPr>
      <w:spacing w:after="120"/>
      <w:ind w:left="1080"/>
      <w:contextualSpacing/>
    </w:pPr>
    <w:rPr>
      <w:rFonts w:ascii="Arial" w:hAnsi="Arial"/>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sz w:val="20"/>
      <w:szCs w:val="20"/>
    </w:rPr>
  </w:style>
  <w:style w:type="character" w:customStyle="1" w:styleId="MacroTextChar">
    <w:name w:val="Macro Text Char"/>
    <w:basedOn w:val="DefaultParagraphFont"/>
    <w:link w:val="MacroText"/>
    <w:uiPriority w:val="99"/>
    <w:rsid w:val="0029639D"/>
    <w:rPr>
      <w:rFonts w:ascii="Arial" w:hAnsi="Arial"/>
      <w:sz w:val="20"/>
      <w:szCs w:val="20"/>
    </w:rPr>
  </w:style>
  <w:style w:type="paragraph" w:styleId="Quote">
    <w:name w:val="Quote"/>
    <w:basedOn w:val="Normal"/>
    <w:next w:val="Normal"/>
    <w:link w:val="QuoteChar"/>
    <w:uiPriority w:val="29"/>
    <w:qFormat/>
    <w:rsid w:val="00FC693F"/>
    <w:rPr>
      <w:rFonts w:ascii="Arial" w:hAnsi="Arial"/>
      <w:i/>
      <w:iCs/>
      <w:color w:val="000000" w:themeColor="text1"/>
    </w:rPr>
  </w:style>
  <w:style w:type="character" w:customStyle="1" w:styleId="QuoteChar">
    <w:name w:val="Quote Char"/>
    <w:basedOn w:val="DefaultParagraphFont"/>
    <w:link w:val="Quote"/>
    <w:uiPriority w:val="29"/>
    <w:rsid w:val="00FC693F"/>
    <w:rPr>
      <w:rFonts w:ascii="Arial" w:hAnsi="Arial"/>
      <w:i/>
      <w:iCs/>
      <w:color w:val="000000" w:themeColor="text1"/>
    </w:rPr>
  </w:style>
  <w:style w:type="character" w:customStyle="1" w:styleId="Heading4Char">
    <w:name w:val="Heading 4 Char"/>
    <w:basedOn w:val="DefaultParagraphFont"/>
    <w:link w:val="Heading4"/>
    <w:uiPriority w:val="9"/>
    <w:semiHidden/>
    <w:rsid w:val="00FC693F"/>
    <w:rPr>
      <w:rFonts w:ascii="Arial" w:hAnsi="Arial"/>
      <w:b/>
      <w:bCs/>
      <w:i/>
      <w:iCs/>
      <w:color w:val="4F81BD" w:themeColor="accent1"/>
    </w:rPr>
  </w:style>
  <w:style w:type="character" w:customStyle="1" w:styleId="Heading5Char">
    <w:name w:val="Heading 5 Char"/>
    <w:basedOn w:val="DefaultParagraphFont"/>
    <w:link w:val="Heading5"/>
    <w:uiPriority w:val="9"/>
    <w:semiHidden/>
    <w:rsid w:val="00FC693F"/>
    <w:rPr>
      <w:rFonts w:ascii="Arial" w:hAnsi="Arial"/>
      <w:color w:val="243F60" w:themeColor="accent1" w:themeShade="7F"/>
    </w:rPr>
  </w:style>
  <w:style w:type="character" w:customStyle="1" w:styleId="Heading6Char">
    <w:name w:val="Heading 6 Char"/>
    <w:basedOn w:val="DefaultParagraphFont"/>
    <w:link w:val="Heading6"/>
    <w:uiPriority w:val="9"/>
    <w:semiHidden/>
    <w:rsid w:val="00FC693F"/>
    <w:rPr>
      <w:rFonts w:ascii="Arial" w:hAnsi="Arial"/>
      <w:i/>
      <w:iCs/>
      <w:color w:val="243F60" w:themeColor="accent1" w:themeShade="7F"/>
    </w:rPr>
  </w:style>
  <w:style w:type="character" w:customStyle="1" w:styleId="Heading7Char">
    <w:name w:val="Heading 7 Char"/>
    <w:basedOn w:val="DefaultParagraphFont"/>
    <w:link w:val="Heading7"/>
    <w:uiPriority w:val="9"/>
    <w:semiHidden/>
    <w:rsid w:val="00FC693F"/>
    <w:rPr>
      <w:rFonts w:ascii="Arial" w:hAnsi="Arial"/>
      <w:i/>
      <w:iCs/>
      <w:color w:val="404040" w:themeColor="text1" w:themeTint="BF"/>
    </w:rPr>
  </w:style>
  <w:style w:type="character" w:customStyle="1" w:styleId="Heading8Char">
    <w:name w:val="Heading 8 Char"/>
    <w:basedOn w:val="DefaultParagraphFont"/>
    <w:link w:val="Heading8"/>
    <w:uiPriority w:val="9"/>
    <w:semiHidden/>
    <w:rsid w:val="00FC693F"/>
    <w:rPr>
      <w:rFonts w:ascii="Arial" w:hAnsi="Arial"/>
      <w:color w:val="4F81BD" w:themeColor="accent1"/>
      <w:sz w:val="20"/>
      <w:szCs w:val="20"/>
    </w:rPr>
  </w:style>
  <w:style w:type="character" w:customStyle="1" w:styleId="Heading9Char">
    <w:name w:val="Heading 9 Char"/>
    <w:basedOn w:val="DefaultParagraphFont"/>
    <w:link w:val="Heading9"/>
    <w:uiPriority w:val="9"/>
    <w:semiHidden/>
    <w:rsid w:val="00FC693F"/>
    <w:rPr>
      <w:rFonts w:ascii="Arial" w:hAnsi="Arial"/>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b/>
      <w:bCs/>
      <w:color w:val="4F81BD" w:themeColor="accent1"/>
      <w:sz w:val="18"/>
      <w:szCs w:val="18"/>
    </w:rPr>
  </w:style>
  <w:style w:type="character" w:styleId="Strong">
    <w:name w:val="Strong"/>
    <w:basedOn w:val="DefaultParagraphFont"/>
    <w:uiPriority w:val="22"/>
    <w:qFormat/>
    <w:rsid w:val="00FC693F"/>
    <w:rPr>
      <w:rFonts w:ascii="Arial" w:hAnsi="Arial"/>
      <w:b/>
      <w:bCs/>
    </w:rPr>
  </w:style>
  <w:style w:type="character" w:styleId="Emphasis">
    <w:name w:val="Emphasis"/>
    <w:basedOn w:val="DefaultParagraphFont"/>
    <w:uiPriority w:val="20"/>
    <w:qFormat/>
    <w:rsid w:val="00FC693F"/>
    <w:rPr>
      <w:rFonts w:ascii="Arial" w:hAnsi="Arial"/>
      <w:i/>
      <w:iCs/>
    </w:rPr>
  </w:style>
  <w:style w:type="paragraph" w:styleId="IntenseQuote">
    <w:name w:val="Intense Quote"/>
    <w:basedOn w:val="Normal"/>
    <w:next w:val="Normal"/>
    <w:link w:val="IntenseQuoteChar"/>
    <w:uiPriority w:val="30"/>
    <w:qFormat/>
    <w:rsid w:val="00FC693F"/>
    <w:pPr>
      <w:spacing w:before="200" w:after="280"/>
      <w:ind w:left="936" w:right="936"/>
    </w:pPr>
    <w:rPr>
      <w:rFonts w:ascii="Arial" w:hAnsi="Arial"/>
      <w:b/>
      <w:bCs/>
      <w:i/>
      <w:iCs/>
      <w:color w:val="4F81BD" w:themeColor="accent1"/>
    </w:rPr>
  </w:style>
  <w:style w:type="character" w:customStyle="1" w:styleId="IntenseQuoteChar">
    <w:name w:val="Intense Quote Char"/>
    <w:basedOn w:val="DefaultParagraphFont"/>
    <w:link w:val="IntenseQuote"/>
    <w:uiPriority w:val="30"/>
    <w:rsid w:val="00FC693F"/>
    <w:rPr>
      <w:rFonts w:ascii="Arial" w:hAnsi="Arial"/>
      <w:b/>
      <w:bCs/>
      <w:i/>
      <w:iCs/>
      <w:color w:val="4F81BD" w:themeColor="accent1"/>
    </w:rPr>
  </w:style>
  <w:style w:type="character" w:styleId="SubtleEmphasis">
    <w:name w:val="Subtle Emphasis"/>
    <w:basedOn w:val="DefaultParagraphFont"/>
    <w:uiPriority w:val="19"/>
    <w:qFormat/>
    <w:rsid w:val="00FC693F"/>
    <w:rPr>
      <w:rFonts w:ascii="Arial" w:hAnsi="Arial"/>
      <w:i/>
      <w:iCs/>
      <w:color w:val="808080" w:themeColor="text1" w:themeTint="7F"/>
    </w:rPr>
  </w:style>
  <w:style w:type="character" w:styleId="IntenseEmphasis">
    <w:name w:val="Intense Emphasis"/>
    <w:basedOn w:val="DefaultParagraphFont"/>
    <w:uiPriority w:val="21"/>
    <w:qFormat/>
    <w:rsid w:val="00FC693F"/>
    <w:rPr>
      <w:rFonts w:ascii="Arial" w:hAnsi="Arial"/>
      <w:b/>
      <w:bCs/>
      <w:i/>
      <w:iCs/>
      <w:color w:val="4F81BD" w:themeColor="accent1"/>
    </w:rPr>
  </w:style>
  <w:style w:type="character" w:styleId="SubtleReference">
    <w:name w:val="Subtle Reference"/>
    <w:basedOn w:val="DefaultParagraphFont"/>
    <w:uiPriority w:val="31"/>
    <w:qFormat/>
    <w:rsid w:val="00FC693F"/>
    <w:rPr>
      <w:rFonts w:ascii="Arial" w:hAnsi="Arial"/>
      <w:smallCaps/>
      <w:color w:val="C0504D" w:themeColor="accent2"/>
      <w:u w:val="single"/>
    </w:rPr>
  </w:style>
  <w:style w:type="character" w:styleId="IntenseReference">
    <w:name w:val="Intense Reference"/>
    <w:basedOn w:val="DefaultParagraphFont"/>
    <w:uiPriority w:val="32"/>
    <w:qFormat/>
    <w:rsid w:val="00FC693F"/>
    <w:rPr>
      <w:rFonts w:ascii="Arial" w:hAnsi="Arial"/>
      <w:b/>
      <w:bCs/>
      <w:smallCaps/>
      <w:color w:val="C0504D" w:themeColor="accent2"/>
      <w:spacing w:val="5"/>
      <w:u w:val="single"/>
    </w:rPr>
  </w:style>
  <w:style w:type="character" w:styleId="BookTitle">
    <w:name w:val="Book Title"/>
    <w:basedOn w:val="DefaultParagraphFont"/>
    <w:uiPriority w:val="33"/>
    <w:qFormat/>
    <w:rsid w:val="00FC693F"/>
    <w:rPr>
      <w:rFonts w:ascii="Arial" w:hAnsi="Arial"/>
      <w:b/>
      <w:bCs/>
      <w:smallCaps/>
      <w:spacing w:val="5"/>
    </w:rPr>
  </w:style>
  <w:style w:type="paragraph" w:styleId="TOCHeading">
    <w:name w:val="TOC Heading"/>
    <w:basedOn w:val="Heading1"/>
    <w:next w:val="Normal"/>
    <w:uiPriority w:val="39"/>
    <w:semiHidden/>
    <w:unhideWhenUsed/>
    <w:qFormat/>
    <w:rsid w:val="00FC693F"/>
    <w:pPr>
      <w:outlineLvl w:val="9"/>
    </w:pPr>
    <w:rPr>
      <w:rFonts w:ascii="Arial" w:hAnsi="Arial"/>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CMS Migration RFP Template</dc:title>
  <dc:subject>CMS migration procurement template</dc:subject>
  <dc:creator>WAYF</dc:creator>
  <cp:keywords/>
  <dc:description>generated by python-docx</dc:description>
  <cp:lastModifiedBy/>
  <cp:revision>1</cp:revision>
  <dcterms:created xsi:type="dcterms:W3CDTF">2013-12-23T23:15:00Z</dcterms:created>
  <dcterms:modified xsi:type="dcterms:W3CDTF">2013-12-23T23:15:00Z</dcterms:modified>
  <cp:category/>
</cp:coreProperties>
</file>